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B6B56D" w14:textId="6339E94B" w:rsidR="00522C38" w:rsidRDefault="00C80141">
      <w:pPr>
        <w:pStyle w:val="Title"/>
        <w:spacing w:line="240" w:lineRule="auto"/>
        <w:rPr>
          <w:rFonts w:ascii="Avenir" w:eastAsia="Avenir" w:hAnsi="Avenir" w:cs="Avenir"/>
          <w:color w:val="97D700"/>
          <w:sz w:val="56"/>
          <w:szCs w:val="56"/>
        </w:rPr>
      </w:pPr>
      <w:r>
        <w:rPr>
          <w:rFonts w:ascii="Avenir" w:eastAsia="Avenir" w:hAnsi="Avenir" w:cs="Avenir"/>
          <w:color w:val="97D700"/>
          <w:sz w:val="56"/>
          <w:szCs w:val="56"/>
        </w:rPr>
        <w:t>Beef Barriers</w:t>
      </w:r>
      <w:r w:rsidR="004301F4">
        <w:rPr>
          <w:rFonts w:ascii="Avenir" w:eastAsia="Avenir" w:hAnsi="Avenir" w:cs="Avenir"/>
          <w:color w:val="97D700"/>
          <w:sz w:val="56"/>
          <w:szCs w:val="56"/>
        </w:rPr>
        <w:br/>
      </w:r>
      <w:r>
        <w:rPr>
          <w:rFonts w:ascii="Avenir" w:eastAsia="Avenir" w:hAnsi="Avenir" w:cs="Avenir"/>
          <w:i/>
          <w:color w:val="808080"/>
          <w:sz w:val="28"/>
          <w:szCs w:val="28"/>
        </w:rPr>
        <w:t>Middle School</w:t>
      </w:r>
      <w:r w:rsidR="004301F4">
        <w:rPr>
          <w:rFonts w:ascii="Avenir" w:eastAsia="Avenir" w:hAnsi="Avenir" w:cs="Avenir"/>
          <w:i/>
          <w:color w:val="808080"/>
          <w:sz w:val="28"/>
          <w:szCs w:val="28"/>
        </w:rPr>
        <w:t xml:space="preserve">, </w:t>
      </w:r>
      <w:r>
        <w:rPr>
          <w:rFonts w:ascii="Avenir" w:eastAsia="Avenir" w:hAnsi="Avenir" w:cs="Avenir"/>
          <w:i/>
          <w:color w:val="808080"/>
          <w:sz w:val="28"/>
          <w:szCs w:val="28"/>
        </w:rPr>
        <w:t>Life Sciences</w:t>
      </w:r>
    </w:p>
    <w:p w14:paraId="225AF66F" w14:textId="77777777" w:rsidR="00522C38" w:rsidRDefault="00000000">
      <w:pPr>
        <w:keepNext/>
        <w:keepLines/>
        <w:pBdr>
          <w:top w:val="nil"/>
          <w:left w:val="nil"/>
          <w:bottom w:val="nil"/>
          <w:right w:val="nil"/>
          <w:between w:val="nil"/>
        </w:pBdr>
        <w:spacing w:before="400" w:after="120"/>
        <w:rPr>
          <w:rFonts w:ascii="Calibri" w:hAnsi="Calibri"/>
          <w:b/>
          <w:color w:val="FA873D"/>
          <w:sz w:val="30"/>
          <w:szCs w:val="30"/>
        </w:rPr>
      </w:pPr>
      <w:r>
        <w:rPr>
          <w:rFonts w:ascii="Calibri" w:hAnsi="Calibri"/>
          <w:b/>
          <w:color w:val="FA873D"/>
          <w:sz w:val="30"/>
          <w:szCs w:val="30"/>
        </w:rPr>
        <w:t>Task Overview</w:t>
      </w:r>
    </w:p>
    <w:p w14:paraId="6C79D495" w14:textId="77777777" w:rsidR="00C80141" w:rsidRPr="00C80141" w:rsidRDefault="00C80141" w:rsidP="00C80141">
      <w:pPr>
        <w:pStyle w:val="Heading3"/>
        <w:widowControl w:val="0"/>
        <w:spacing w:before="0" w:line="240" w:lineRule="auto"/>
        <w:rPr>
          <w:rFonts w:ascii="Calibri" w:hAnsi="Calibri"/>
          <w:color w:val="231F20"/>
          <w:sz w:val="24"/>
          <w:szCs w:val="24"/>
        </w:rPr>
      </w:pPr>
      <w:r w:rsidRPr="00C80141">
        <w:rPr>
          <w:rFonts w:ascii="Calibri" w:hAnsi="Calibri"/>
          <w:color w:val="000000"/>
          <w:sz w:val="24"/>
          <w:szCs w:val="24"/>
        </w:rPr>
        <w:t>In this task, students will evaluate existing beef cattle production / industry practices and determine their impacts on water quality and biodiversity. Using scientific evidence for support, students will identify a potential solution that could improve key biodiversity variables among water ecosystems.</w:t>
      </w:r>
    </w:p>
    <w:p w14:paraId="18DD4F6B" w14:textId="77777777" w:rsidR="00C80141" w:rsidRPr="00C80141" w:rsidRDefault="00C80141" w:rsidP="00C80141">
      <w:pPr>
        <w:widowControl w:val="0"/>
        <w:spacing w:before="159" w:line="240" w:lineRule="auto"/>
        <w:ind w:right="334"/>
        <w:rPr>
          <w:rFonts w:ascii="Calibri" w:hAnsi="Calibri"/>
          <w:color w:val="231F20"/>
        </w:rPr>
      </w:pPr>
      <w:r w:rsidRPr="00C80141">
        <w:rPr>
          <w:rFonts w:ascii="Calibri" w:hAnsi="Calibri"/>
          <w:color w:val="231F20"/>
        </w:rPr>
        <w:t xml:space="preserve">Students will evaluate data regarding harmful algal blooms in New York waterways and determine that livestock allowed to drink directly from waterways can have a negative impact on water quality. For this reason, physical barriers are often observed on cattle farms. Through their work, students will be able to identify the characteristics of healthy and unhealthy water ecosystems. Next, students will evaluate 4 common conservation management practices </w:t>
      </w:r>
      <w:proofErr w:type="gramStart"/>
      <w:r w:rsidRPr="00C80141">
        <w:rPr>
          <w:rFonts w:ascii="Calibri" w:hAnsi="Calibri"/>
          <w:color w:val="231F20"/>
        </w:rPr>
        <w:t>-  managing</w:t>
      </w:r>
      <w:proofErr w:type="gramEnd"/>
      <w:r w:rsidRPr="00C80141">
        <w:rPr>
          <w:rFonts w:ascii="Calibri" w:hAnsi="Calibri"/>
          <w:color w:val="231F20"/>
        </w:rPr>
        <w:t xml:space="preserve"> beef lifecycle, filter strips / forested buffers, managing grazing, and fenced farm dams. After learning about these practices, students identify the solution that most improves water quality of New York water ecosystems.</w:t>
      </w:r>
    </w:p>
    <w:p w14:paraId="7C4F1C10" w14:textId="77777777" w:rsidR="00522C38" w:rsidRDefault="00000000">
      <w:pPr>
        <w:keepNext/>
        <w:keepLines/>
        <w:pBdr>
          <w:top w:val="nil"/>
          <w:left w:val="nil"/>
          <w:bottom w:val="nil"/>
          <w:right w:val="nil"/>
          <w:between w:val="nil"/>
        </w:pBdr>
        <w:spacing w:before="400" w:after="120"/>
        <w:rPr>
          <w:rFonts w:ascii="Calibri" w:hAnsi="Calibri"/>
          <w:b/>
          <w:color w:val="FA873D"/>
          <w:sz w:val="30"/>
          <w:szCs w:val="30"/>
        </w:rPr>
      </w:pPr>
      <w:r>
        <w:rPr>
          <w:rFonts w:ascii="Calibri" w:hAnsi="Calibri"/>
          <w:b/>
          <w:color w:val="FA873D"/>
          <w:sz w:val="30"/>
          <w:szCs w:val="30"/>
        </w:rPr>
        <w:t>Next Generation Science Standards</w:t>
      </w:r>
    </w:p>
    <w:p w14:paraId="01F47E03" w14:textId="77777777" w:rsidR="00522C38" w:rsidRDefault="00000000">
      <w:pPr>
        <w:pStyle w:val="Heading4"/>
        <w:spacing w:before="0"/>
        <w:rPr>
          <w:b/>
          <w:color w:val="808080"/>
          <w:sz w:val="26"/>
          <w:szCs w:val="26"/>
        </w:rPr>
      </w:pPr>
      <w:bookmarkStart w:id="0" w:name="_heading=h.42qb0p9byydz" w:colFirst="0" w:colLast="0"/>
      <w:bookmarkEnd w:id="0"/>
      <w:r>
        <w:rPr>
          <w:b/>
          <w:color w:val="808080"/>
          <w:sz w:val="26"/>
          <w:szCs w:val="26"/>
        </w:rPr>
        <w:t>Three-Dimensional Claim</w:t>
      </w:r>
    </w:p>
    <w:p w14:paraId="0B3815CF" w14:textId="77777777" w:rsidR="00C80141" w:rsidRPr="00C80141" w:rsidRDefault="00C80141" w:rsidP="00C80141">
      <w:pPr>
        <w:widowControl w:val="0"/>
        <w:pBdr>
          <w:top w:val="nil"/>
          <w:left w:val="nil"/>
          <w:bottom w:val="nil"/>
          <w:right w:val="nil"/>
          <w:between w:val="nil"/>
        </w:pBdr>
        <w:spacing w:line="240" w:lineRule="auto"/>
        <w:rPr>
          <w:rFonts w:ascii="Calibri" w:eastAsia="Trebuchet MS" w:hAnsi="Calibri"/>
        </w:rPr>
      </w:pPr>
      <w:r w:rsidRPr="00C80141">
        <w:rPr>
          <w:rFonts w:ascii="Calibri" w:eastAsia="Trebuchet MS" w:hAnsi="Calibri"/>
        </w:rPr>
        <w:t xml:space="preserve">Students will </w:t>
      </w:r>
      <w:r w:rsidRPr="00C80141">
        <w:rPr>
          <w:rFonts w:ascii="Calibri" w:eastAsia="Trebuchet MS" w:hAnsi="Calibri"/>
          <w:color w:val="008000"/>
        </w:rPr>
        <w:t>identify potential causes</w:t>
      </w:r>
      <w:r w:rsidRPr="00C80141">
        <w:rPr>
          <w:rFonts w:ascii="Calibri" w:eastAsia="Trebuchet MS" w:hAnsi="Calibri"/>
        </w:rPr>
        <w:t xml:space="preserve"> </w:t>
      </w:r>
      <w:r w:rsidRPr="00C80141">
        <w:rPr>
          <w:rFonts w:ascii="Calibri" w:eastAsia="Trebuchet MS" w:hAnsi="Calibri"/>
          <w:color w:val="FF6600"/>
        </w:rPr>
        <w:t xml:space="preserve">of pollution </w:t>
      </w:r>
      <w:r w:rsidRPr="00C80141">
        <w:rPr>
          <w:rFonts w:ascii="Calibri" w:eastAsia="Trebuchet MS" w:hAnsi="Calibri"/>
        </w:rPr>
        <w:t xml:space="preserve">among New York water ecosystems of existing beef cattle production / industry practices </w:t>
      </w:r>
      <w:r w:rsidRPr="00C80141">
        <w:rPr>
          <w:rFonts w:ascii="Calibri" w:eastAsia="Trebuchet MS" w:hAnsi="Calibri"/>
          <w:color w:val="008000"/>
        </w:rPr>
        <w:t xml:space="preserve">and their effects </w:t>
      </w:r>
      <w:r w:rsidRPr="00C80141">
        <w:rPr>
          <w:rFonts w:ascii="Calibri" w:eastAsia="Trebuchet MS" w:hAnsi="Calibri"/>
          <w:color w:val="FF6600"/>
        </w:rPr>
        <w:t xml:space="preserve">on water quality and biodiversity </w:t>
      </w:r>
      <w:r w:rsidRPr="00C80141">
        <w:rPr>
          <w:rFonts w:ascii="Calibri" w:eastAsia="Trebuchet MS" w:hAnsi="Calibri"/>
          <w:color w:val="0000FF"/>
        </w:rPr>
        <w:t>to explain</w:t>
      </w:r>
      <w:r w:rsidRPr="00C80141">
        <w:rPr>
          <w:rFonts w:ascii="Calibri" w:eastAsia="Trebuchet MS" w:hAnsi="Calibri"/>
          <w:color w:val="1155CC"/>
        </w:rPr>
        <w:t xml:space="preserve"> </w:t>
      </w:r>
      <w:r w:rsidRPr="00C80141">
        <w:rPr>
          <w:rFonts w:ascii="Calibri" w:eastAsia="Trebuchet MS" w:hAnsi="Calibri"/>
          <w:color w:val="FF6600"/>
        </w:rPr>
        <w:t xml:space="preserve">a solution (or combinations of solutions) that could lead to improvement in key variables </w:t>
      </w:r>
      <w:r w:rsidRPr="00C80141">
        <w:rPr>
          <w:rFonts w:ascii="Calibri" w:eastAsia="Trebuchet MS" w:hAnsi="Calibri"/>
          <w:color w:val="0000FF"/>
        </w:rPr>
        <w:t>by using scientific evidence to support their explanation</w:t>
      </w:r>
      <w:r w:rsidRPr="00C80141">
        <w:rPr>
          <w:rFonts w:ascii="Calibri" w:eastAsia="Trebuchet MS" w:hAnsi="Calibri"/>
        </w:rPr>
        <w:t xml:space="preserve">. </w:t>
      </w:r>
    </w:p>
    <w:p w14:paraId="7033B535" w14:textId="77777777" w:rsidR="00522C38" w:rsidRDefault="00522C38"/>
    <w:p w14:paraId="0ABBA68C" w14:textId="77777777" w:rsidR="00522C38" w:rsidRDefault="00000000">
      <w:pPr>
        <w:rPr>
          <w:b/>
          <w:color w:val="231F20"/>
        </w:rPr>
      </w:pPr>
      <w:r>
        <w:t xml:space="preserve">This task is intended to elicit student learning of the following </w:t>
      </w:r>
      <w:r>
        <w:rPr>
          <w:b/>
        </w:rPr>
        <w:t>NGSS elements</w:t>
      </w:r>
      <w:r>
        <w:t xml:space="preserve"> for each of the three dimensions:</w:t>
      </w:r>
    </w:p>
    <w:p w14:paraId="5BF0F8BD" w14:textId="77777777" w:rsidR="00522C38" w:rsidRDefault="00000000">
      <w:pPr>
        <w:pStyle w:val="Heading4"/>
        <w:widowControl w:val="0"/>
        <w:spacing w:after="200" w:line="240" w:lineRule="auto"/>
      </w:pPr>
      <w:bookmarkStart w:id="1" w:name="_heading=h.phvuafomp4kk" w:colFirst="0" w:colLast="0"/>
      <w:bookmarkEnd w:id="1"/>
      <w:r>
        <w:rPr>
          <w:color w:val="FF9900"/>
        </w:rPr>
        <w:t>Disciplinary Core Ideas</w:t>
      </w:r>
    </w:p>
    <w:p w14:paraId="1C2D6F9F" w14:textId="77777777" w:rsidR="002A4C90" w:rsidRPr="002A4C90" w:rsidRDefault="002A4C90" w:rsidP="002A4C90">
      <w:pPr>
        <w:widowControl w:val="0"/>
        <w:spacing w:line="240" w:lineRule="auto"/>
        <w:rPr>
          <w:rFonts w:eastAsia="Arial" w:cstheme="majorHAnsi"/>
          <w:color w:val="231F20"/>
        </w:rPr>
      </w:pPr>
      <w:r w:rsidRPr="002A4C90">
        <w:rPr>
          <w:rFonts w:cstheme="majorHAnsi"/>
          <w:i/>
          <w:color w:val="666666"/>
        </w:rPr>
        <w:t>LS2.D: Social Interactions and Group Behavior (MS)</w:t>
      </w:r>
    </w:p>
    <w:p w14:paraId="161FDAFD" w14:textId="77777777" w:rsidR="002A4C90" w:rsidRPr="002A4C90" w:rsidRDefault="002A4C90" w:rsidP="002A4C90">
      <w:pPr>
        <w:pStyle w:val="ListParagraph"/>
        <w:numPr>
          <w:ilvl w:val="0"/>
          <w:numId w:val="2"/>
        </w:numPr>
        <w:pBdr>
          <w:top w:val="nil"/>
          <w:left w:val="nil"/>
          <w:bottom w:val="nil"/>
          <w:right w:val="nil"/>
          <w:between w:val="nil"/>
        </w:pBdr>
        <w:rPr>
          <w:rFonts w:asciiTheme="majorHAnsi" w:eastAsia="Open Sans" w:hAnsiTheme="majorHAnsi" w:cstheme="majorHAnsi"/>
        </w:rPr>
      </w:pPr>
      <w:r w:rsidRPr="002A4C90">
        <w:rPr>
          <w:rFonts w:asciiTheme="majorHAnsi" w:eastAsia="Open Sans" w:hAnsiTheme="majorHAnsi" w:cstheme="majorHAnsi"/>
        </w:rPr>
        <w:t>Changes in biodiversity can influence humans’ resources, such as food, energy, and medicines, as well as ecosystem services that humans rely on – for example, water purification and recycling (secondary to MS-LS2-5)</w:t>
      </w:r>
    </w:p>
    <w:p w14:paraId="5F20E68A" w14:textId="77777777" w:rsidR="002A4C90" w:rsidRPr="002A4C90" w:rsidRDefault="002A4C90" w:rsidP="002A4C90">
      <w:pPr>
        <w:pBdr>
          <w:top w:val="nil"/>
          <w:left w:val="nil"/>
          <w:bottom w:val="nil"/>
          <w:right w:val="nil"/>
          <w:between w:val="nil"/>
        </w:pBdr>
        <w:rPr>
          <w:rFonts w:ascii="Open Sans" w:hAnsi="Open Sans"/>
          <w:i/>
        </w:rPr>
      </w:pPr>
    </w:p>
    <w:p w14:paraId="0C3912AE" w14:textId="77777777" w:rsidR="002A4C90" w:rsidRPr="002A4C90" w:rsidRDefault="002A4C90" w:rsidP="002A4C90">
      <w:pPr>
        <w:widowControl w:val="0"/>
        <w:spacing w:line="240" w:lineRule="auto"/>
        <w:rPr>
          <w:rFonts w:eastAsia="Arial" w:cstheme="majorHAnsi"/>
          <w:color w:val="231F20"/>
        </w:rPr>
      </w:pPr>
      <w:r w:rsidRPr="002A4C90">
        <w:rPr>
          <w:rFonts w:cstheme="majorHAnsi"/>
          <w:i/>
          <w:color w:val="666666"/>
        </w:rPr>
        <w:t>ETS1.B: Developing Possible Solutions (MS)</w:t>
      </w:r>
    </w:p>
    <w:p w14:paraId="048E48D3" w14:textId="77777777" w:rsidR="002A4C90" w:rsidRPr="002A4C90" w:rsidRDefault="002A4C90" w:rsidP="002A4C90">
      <w:pPr>
        <w:pStyle w:val="ListParagraph"/>
        <w:widowControl w:val="0"/>
        <w:numPr>
          <w:ilvl w:val="0"/>
          <w:numId w:val="2"/>
        </w:numPr>
        <w:spacing w:after="200" w:line="240" w:lineRule="auto"/>
        <w:rPr>
          <w:rFonts w:asciiTheme="majorHAnsi" w:hAnsiTheme="majorHAnsi" w:cstheme="majorHAnsi"/>
          <w:color w:val="231F20"/>
        </w:rPr>
      </w:pPr>
      <w:r w:rsidRPr="002A4C90">
        <w:rPr>
          <w:rFonts w:asciiTheme="majorHAnsi" w:eastAsia="Open Sans" w:hAnsiTheme="majorHAnsi" w:cstheme="majorHAnsi"/>
          <w:iCs/>
        </w:rPr>
        <w:t xml:space="preserve">Sometimes parts of different solutions can be combined to create a solution that is better than any of </w:t>
      </w:r>
      <w:r w:rsidRPr="002A4C90">
        <w:rPr>
          <w:rFonts w:asciiTheme="majorHAnsi" w:eastAsia="Open Sans" w:hAnsiTheme="majorHAnsi" w:cstheme="majorHAnsi"/>
          <w:iCs/>
        </w:rPr>
        <w:lastRenderedPageBreak/>
        <w:t>its predecessors (MS-ETS1-3)</w:t>
      </w:r>
    </w:p>
    <w:p w14:paraId="4B984F8C" w14:textId="77777777" w:rsidR="00522C38" w:rsidRDefault="00000000">
      <w:pPr>
        <w:pStyle w:val="Heading4"/>
        <w:widowControl w:val="0"/>
        <w:spacing w:after="200" w:line="240" w:lineRule="auto"/>
      </w:pPr>
      <w:bookmarkStart w:id="2" w:name="_heading=h.tsfv5t8b7kql" w:colFirst="0" w:colLast="0"/>
      <w:bookmarkEnd w:id="2"/>
      <w:r>
        <w:rPr>
          <w:color w:val="0000FF"/>
        </w:rPr>
        <w:t>Science and Engineering Practices</w:t>
      </w:r>
    </w:p>
    <w:p w14:paraId="66A5F9E6" w14:textId="77777777" w:rsidR="002A4C90" w:rsidRPr="002A4C90" w:rsidRDefault="002A4C90" w:rsidP="002A4C90">
      <w:pPr>
        <w:widowControl w:val="0"/>
        <w:spacing w:line="240" w:lineRule="auto"/>
        <w:rPr>
          <w:rFonts w:eastAsia="Arial" w:cstheme="majorHAnsi"/>
          <w:color w:val="231F20"/>
        </w:rPr>
      </w:pPr>
      <w:r w:rsidRPr="002A4C90">
        <w:rPr>
          <w:rFonts w:cstheme="majorHAnsi"/>
          <w:i/>
          <w:color w:val="666666"/>
        </w:rPr>
        <w:t>Constructing Explanations and Designing Solutions (MS)</w:t>
      </w:r>
    </w:p>
    <w:p w14:paraId="0870DD67" w14:textId="77777777" w:rsidR="002A4C90" w:rsidRPr="002A4C90" w:rsidRDefault="002A4C90" w:rsidP="002A4C90">
      <w:pPr>
        <w:pStyle w:val="ListParagraph"/>
        <w:numPr>
          <w:ilvl w:val="0"/>
          <w:numId w:val="2"/>
        </w:numPr>
        <w:spacing w:line="240" w:lineRule="auto"/>
        <w:rPr>
          <w:rFonts w:asciiTheme="majorHAnsi" w:eastAsia="Open Sans" w:hAnsiTheme="majorHAnsi" w:cstheme="majorHAnsi"/>
          <w:bCs/>
        </w:rPr>
      </w:pPr>
      <w:r w:rsidRPr="002A4C90">
        <w:rPr>
          <w:rFonts w:asciiTheme="majorHAnsi" w:eastAsia="Open Sans" w:hAnsiTheme="majorHAnsi" w:cstheme="majorHAnsi"/>
          <w:bCs/>
        </w:rPr>
        <w:t>Apply scientific ideas, principles, and/or evidence to construct, revise and/or use an explanation for real-world phenomena, examples, or events.</w:t>
      </w:r>
    </w:p>
    <w:p w14:paraId="6CEA5AA8" w14:textId="77777777" w:rsidR="002A4C90" w:rsidRPr="002A4C90" w:rsidRDefault="002A4C90" w:rsidP="002A4C90">
      <w:pPr>
        <w:pStyle w:val="ListParagraph"/>
        <w:numPr>
          <w:ilvl w:val="0"/>
          <w:numId w:val="2"/>
        </w:numPr>
        <w:spacing w:line="240" w:lineRule="auto"/>
        <w:rPr>
          <w:rFonts w:asciiTheme="majorHAnsi" w:eastAsia="Open Sans" w:hAnsiTheme="majorHAnsi" w:cstheme="majorHAnsi"/>
          <w:bCs/>
        </w:rPr>
      </w:pPr>
      <w:r w:rsidRPr="002A4C90">
        <w:rPr>
          <w:rFonts w:asciiTheme="majorHAnsi" w:eastAsia="Open Sans" w:hAnsiTheme="majorHAnsi" w:cstheme="majorHAnsi"/>
          <w:bCs/>
        </w:rPr>
        <w:t>Apply scientific reasoning to show why the data or evidence is adequate for the explanation or conclusion.</w:t>
      </w:r>
    </w:p>
    <w:p w14:paraId="002B853C" w14:textId="77777777" w:rsidR="00522C38" w:rsidRDefault="00000000">
      <w:pPr>
        <w:pStyle w:val="Heading4"/>
        <w:widowControl w:val="0"/>
        <w:spacing w:after="200" w:line="240" w:lineRule="auto"/>
      </w:pPr>
      <w:r>
        <w:rPr>
          <w:color w:val="38761D"/>
        </w:rPr>
        <w:t>Crosscutting Concepts</w:t>
      </w:r>
    </w:p>
    <w:p w14:paraId="1D2CA8B7" w14:textId="77777777" w:rsidR="002A4C90" w:rsidRPr="002A4C90" w:rsidRDefault="002A4C90" w:rsidP="002A4C90">
      <w:pPr>
        <w:widowControl w:val="0"/>
        <w:spacing w:line="240" w:lineRule="auto"/>
        <w:rPr>
          <w:rFonts w:eastAsia="Arial" w:cstheme="majorHAnsi"/>
          <w:color w:val="231F20"/>
        </w:rPr>
      </w:pPr>
      <w:r w:rsidRPr="002A4C90">
        <w:rPr>
          <w:rFonts w:cstheme="majorHAnsi"/>
          <w:i/>
          <w:color w:val="666666"/>
        </w:rPr>
        <w:t>Patterns (MS)</w:t>
      </w:r>
    </w:p>
    <w:p w14:paraId="5551463A" w14:textId="77777777" w:rsidR="002A4C90" w:rsidRPr="002A4C90" w:rsidRDefault="002A4C90" w:rsidP="002A4C90">
      <w:pPr>
        <w:pStyle w:val="ListParagraph"/>
        <w:numPr>
          <w:ilvl w:val="0"/>
          <w:numId w:val="2"/>
        </w:numPr>
        <w:spacing w:line="240" w:lineRule="auto"/>
        <w:rPr>
          <w:rFonts w:asciiTheme="majorHAnsi" w:eastAsia="Open Sans" w:hAnsiTheme="majorHAnsi" w:cstheme="majorHAnsi"/>
          <w:bCs/>
        </w:rPr>
      </w:pPr>
      <w:r w:rsidRPr="002A4C90">
        <w:rPr>
          <w:rFonts w:asciiTheme="majorHAnsi" w:eastAsia="Open Sans" w:hAnsiTheme="majorHAnsi" w:cstheme="majorHAnsi"/>
          <w:bCs/>
        </w:rPr>
        <w:t>Patterns can be used to identify cause and effect relationships.</w:t>
      </w:r>
    </w:p>
    <w:p w14:paraId="29FFFF6E" w14:textId="77777777" w:rsidR="002A4C90" w:rsidRPr="002A4C90" w:rsidRDefault="002A4C90" w:rsidP="002A4C90">
      <w:pPr>
        <w:pStyle w:val="ListParagraph"/>
        <w:widowControl w:val="0"/>
        <w:numPr>
          <w:ilvl w:val="0"/>
          <w:numId w:val="2"/>
        </w:numPr>
        <w:spacing w:after="200" w:line="240" w:lineRule="auto"/>
        <w:rPr>
          <w:rFonts w:asciiTheme="majorHAnsi" w:hAnsiTheme="majorHAnsi" w:cstheme="majorHAnsi"/>
          <w:color w:val="231F20"/>
        </w:rPr>
      </w:pPr>
      <w:r w:rsidRPr="002A4C90">
        <w:rPr>
          <w:rFonts w:asciiTheme="majorHAnsi" w:eastAsia="Open Sans" w:hAnsiTheme="majorHAnsi" w:cstheme="majorHAnsi"/>
          <w:bCs/>
        </w:rPr>
        <w:t>Graphs, charts, and images can be used to identify patterns in data.</w:t>
      </w:r>
    </w:p>
    <w:p w14:paraId="2D98523C" w14:textId="77777777" w:rsidR="00522C38" w:rsidRDefault="00000000">
      <w:pPr>
        <w:keepNext/>
        <w:keepLines/>
        <w:pBdr>
          <w:top w:val="nil"/>
          <w:left w:val="nil"/>
          <w:bottom w:val="nil"/>
          <w:right w:val="nil"/>
          <w:between w:val="nil"/>
        </w:pBdr>
        <w:spacing w:before="400"/>
        <w:rPr>
          <w:rFonts w:ascii="Calibri" w:hAnsi="Calibri"/>
          <w:b/>
          <w:color w:val="FA873D"/>
          <w:sz w:val="30"/>
          <w:szCs w:val="30"/>
        </w:rPr>
      </w:pPr>
      <w:r>
        <w:rPr>
          <w:rFonts w:ascii="Calibri" w:hAnsi="Calibri"/>
          <w:b/>
          <w:color w:val="FA873D"/>
          <w:sz w:val="30"/>
          <w:szCs w:val="30"/>
        </w:rPr>
        <w:t>Suggestions for Use</w:t>
      </w:r>
    </w:p>
    <w:p w14:paraId="7C98DC30" w14:textId="77777777" w:rsidR="002A4C90" w:rsidRPr="002A4C90" w:rsidRDefault="002A4C90" w:rsidP="002A4C90">
      <w:pPr>
        <w:widowControl w:val="0"/>
        <w:spacing w:line="256" w:lineRule="auto"/>
        <w:rPr>
          <w:rFonts w:ascii="Calibri" w:hAnsi="Calibri"/>
        </w:rPr>
      </w:pPr>
      <w:bookmarkStart w:id="3" w:name="_heading=h.1t3h5sf" w:colFirst="0" w:colLast="0"/>
      <w:bookmarkEnd w:id="3"/>
      <w:r w:rsidRPr="002A4C90">
        <w:rPr>
          <w:rFonts w:ascii="Calibri" w:hAnsi="Calibri"/>
        </w:rPr>
        <w:t>This task is intended to be used for formative assessment purposes - to identify students’ strengths and needs with the above dimensions to provide feedback to students and guide shifts in instruction.</w:t>
      </w:r>
    </w:p>
    <w:p w14:paraId="1F547990" w14:textId="77777777" w:rsidR="00522C38" w:rsidRDefault="00000000">
      <w:pPr>
        <w:keepNext/>
        <w:keepLines/>
        <w:pBdr>
          <w:top w:val="nil"/>
          <w:left w:val="nil"/>
          <w:bottom w:val="nil"/>
          <w:right w:val="nil"/>
          <w:between w:val="nil"/>
        </w:pBdr>
        <w:spacing w:before="400"/>
        <w:rPr>
          <w:rFonts w:ascii="Calibri" w:hAnsi="Calibri"/>
          <w:b/>
          <w:color w:val="FA873D"/>
          <w:sz w:val="30"/>
          <w:szCs w:val="30"/>
        </w:rPr>
      </w:pPr>
      <w:r>
        <w:rPr>
          <w:rFonts w:ascii="Calibri" w:hAnsi="Calibri"/>
          <w:b/>
          <w:color w:val="FA873D"/>
          <w:sz w:val="30"/>
          <w:szCs w:val="30"/>
        </w:rPr>
        <w:t>Background Information</w:t>
      </w:r>
    </w:p>
    <w:p w14:paraId="107236BE" w14:textId="77777777" w:rsidR="002A4C90" w:rsidRPr="002A4C90" w:rsidRDefault="002A4C90" w:rsidP="002A4C90">
      <w:pPr>
        <w:widowControl w:val="0"/>
        <w:spacing w:line="240" w:lineRule="auto"/>
        <w:rPr>
          <w:rFonts w:ascii="Calibri" w:eastAsia="Trebuchet MS" w:hAnsi="Calibri"/>
        </w:rPr>
      </w:pPr>
      <w:r w:rsidRPr="002A4C90">
        <w:rPr>
          <w:rFonts w:ascii="Calibri" w:eastAsia="Trebuchet MS" w:hAnsi="Calibri"/>
        </w:rPr>
        <w:t xml:space="preserve">There are a variety of solutions being implemented by beef cattle production that include industry practices aimed toward improvement of the causes of pollution in New York water ecosystems. Scientific evidence shows that best practices include any of the following solutions to mitigate the effects of pollution due to production. Each has a unique impact on the biodiversity of a water ecosystem. Using cover crops helps soil hold onto nutrients so they are not released into the ecosystem. Managing the life cycle of beef cattle and grazing practices by using a feedlot for a portion of cattle’s life cycle and reducing overgrazing helps maintain the local ecosystem. Buffers or filter strips can be used to help trap nutrients that would otherwise end up in the local water ecosystem. Fencing is a physical barrier that keeps water sources clean by blocking livestock access.  </w:t>
      </w:r>
    </w:p>
    <w:p w14:paraId="08AAD644" w14:textId="77777777" w:rsidR="002A4C90" w:rsidRPr="002A4C90" w:rsidRDefault="002A4C90" w:rsidP="002A4C90">
      <w:pPr>
        <w:widowControl w:val="0"/>
        <w:spacing w:line="240" w:lineRule="auto"/>
        <w:rPr>
          <w:rFonts w:ascii="Calibri" w:eastAsia="Trebuchet MS" w:hAnsi="Calibri"/>
        </w:rPr>
      </w:pPr>
    </w:p>
    <w:p w14:paraId="1CEAADDF" w14:textId="77777777" w:rsidR="002A4C90" w:rsidRPr="002A4C90" w:rsidRDefault="002A4C90" w:rsidP="002A4C90">
      <w:pPr>
        <w:widowControl w:val="0"/>
        <w:spacing w:line="240" w:lineRule="auto"/>
        <w:rPr>
          <w:rFonts w:ascii="Calibri" w:eastAsia="Trebuchet MS" w:hAnsi="Calibri"/>
        </w:rPr>
      </w:pPr>
      <w:r w:rsidRPr="002A4C90">
        <w:rPr>
          <w:rFonts w:ascii="Calibri" w:eastAsia="Trebuchet MS" w:hAnsi="Calibri"/>
        </w:rPr>
        <w:t xml:space="preserve">Note: </w:t>
      </w:r>
    </w:p>
    <w:p w14:paraId="721CFC35" w14:textId="77777777" w:rsidR="002A4C90" w:rsidRPr="002A4C90" w:rsidRDefault="002A4C90" w:rsidP="002A4C90">
      <w:pPr>
        <w:widowControl w:val="0"/>
        <w:spacing w:line="240" w:lineRule="auto"/>
        <w:rPr>
          <w:rFonts w:ascii="Calibri" w:eastAsia="Trebuchet MS" w:hAnsi="Calibri"/>
        </w:rPr>
      </w:pPr>
      <w:r w:rsidRPr="002A4C90">
        <w:rPr>
          <w:rFonts w:ascii="Calibri" w:eastAsia="Trebuchet MS" w:hAnsi="Calibri"/>
        </w:rPr>
        <w:t>There are many solutions, but the background information is limited to those discussed in this transfer task.</w:t>
      </w:r>
    </w:p>
    <w:p w14:paraId="566B0139" w14:textId="77777777" w:rsidR="00522C38" w:rsidRDefault="00000000">
      <w:pPr>
        <w:keepNext/>
        <w:keepLines/>
        <w:pBdr>
          <w:top w:val="nil"/>
          <w:left w:val="nil"/>
          <w:bottom w:val="nil"/>
          <w:right w:val="nil"/>
          <w:between w:val="nil"/>
        </w:pBdr>
        <w:spacing w:before="400" w:after="120"/>
        <w:rPr>
          <w:rFonts w:ascii="Calibri" w:hAnsi="Calibri"/>
          <w:b/>
          <w:color w:val="FA873D"/>
          <w:sz w:val="30"/>
          <w:szCs w:val="30"/>
        </w:rPr>
      </w:pPr>
      <w:r>
        <w:rPr>
          <w:rFonts w:ascii="Calibri" w:hAnsi="Calibri"/>
          <w:b/>
          <w:color w:val="FA873D"/>
          <w:sz w:val="30"/>
          <w:szCs w:val="30"/>
        </w:rPr>
        <w:t>Assumptions</w:t>
      </w:r>
    </w:p>
    <w:p w14:paraId="14478259" w14:textId="475131EF" w:rsidR="004301F4" w:rsidRDefault="002A4C90">
      <w:r w:rsidRPr="002A4C90">
        <w:t xml:space="preserve">Students should have engaged with instructional experiences that ask them to </w:t>
      </w:r>
      <w:r w:rsidRPr="002A4C90">
        <w:rPr>
          <w:rFonts w:cstheme="majorHAnsi"/>
        </w:rPr>
        <w:t>read and analyze information from graphs and data tables</w:t>
      </w:r>
      <w:r w:rsidRPr="002A4C90">
        <w:t xml:space="preserve"> to evaluate potential pros and cons of possible solutions to environmental </w:t>
      </w:r>
      <w:r w:rsidRPr="002A4C90">
        <w:lastRenderedPageBreak/>
        <w:t>concerns.  Students should also understand the role that humans play in maintaining biodiversity of ecosystems and that responsible management of natural resources is a necessity for sustainability.</w:t>
      </w:r>
    </w:p>
    <w:p w14:paraId="661E3A12" w14:textId="77777777" w:rsidR="00B2071A" w:rsidRDefault="00B2071A" w:rsidP="00B2071A">
      <w:pPr>
        <w:widowControl w:val="0"/>
        <w:spacing w:line="240" w:lineRule="auto"/>
        <w:rPr>
          <w:rFonts w:ascii="Open Sans" w:eastAsia="Trebuchet MS" w:hAnsi="Open Sans"/>
          <w:b/>
          <w:color w:val="FF6600"/>
          <w:sz w:val="26"/>
          <w:szCs w:val="26"/>
        </w:rPr>
      </w:pPr>
    </w:p>
    <w:p w14:paraId="23476461" w14:textId="1E741389" w:rsidR="00B2071A" w:rsidRDefault="00B2071A" w:rsidP="00B2071A">
      <w:pPr>
        <w:widowControl w:val="0"/>
        <w:spacing w:line="240" w:lineRule="auto"/>
        <w:rPr>
          <w:rFonts w:ascii="Open Sans" w:eastAsia="Trebuchet MS" w:hAnsi="Open Sans"/>
          <w:b/>
          <w:color w:val="FF6600"/>
          <w:sz w:val="26"/>
          <w:szCs w:val="26"/>
        </w:rPr>
      </w:pPr>
      <w:r>
        <w:rPr>
          <w:rFonts w:ascii="Open Sans" w:eastAsia="Trebuchet MS" w:hAnsi="Open Sans"/>
          <w:b/>
          <w:color w:val="FF6600"/>
          <w:sz w:val="26"/>
          <w:szCs w:val="26"/>
        </w:rPr>
        <w:t>Resources</w:t>
      </w:r>
    </w:p>
    <w:p w14:paraId="04E2A852" w14:textId="77777777" w:rsidR="00B2071A" w:rsidRDefault="00000000" w:rsidP="00B2071A">
      <w:pPr>
        <w:pStyle w:val="ListParagraph"/>
        <w:widowControl w:val="0"/>
        <w:numPr>
          <w:ilvl w:val="0"/>
          <w:numId w:val="3"/>
        </w:numPr>
        <w:spacing w:line="240" w:lineRule="auto"/>
        <w:rPr>
          <w:rStyle w:val="cf01"/>
          <w:rFonts w:ascii="Open Sans" w:hAnsi="Open Sans" w:cs="Open Sans"/>
          <w:sz w:val="26"/>
          <w:szCs w:val="26"/>
        </w:rPr>
      </w:pPr>
      <w:hyperlink r:id="rId8" w:history="1">
        <w:r w:rsidR="00B2071A">
          <w:rPr>
            <w:rStyle w:val="Hyperlink"/>
            <w:rFonts w:ascii="Calibri" w:hAnsi="Calibri" w:cs="Calibri"/>
            <w:sz w:val="22"/>
          </w:rPr>
          <w:t>https://www.labxchange.org/library/pathway/lx-pathway:69980a09-42bf-418d-9679-f8756f2bcc6a/items/lx-pb:69980a09-42bf-418d-9679-f8756f2bcc6a:html:7bcac1df</w:t>
        </w:r>
      </w:hyperlink>
    </w:p>
    <w:p w14:paraId="0660056B" w14:textId="77777777" w:rsidR="00B2071A" w:rsidRDefault="00000000" w:rsidP="00B2071A">
      <w:pPr>
        <w:pStyle w:val="ListParagraph"/>
        <w:numPr>
          <w:ilvl w:val="0"/>
          <w:numId w:val="4"/>
        </w:numPr>
        <w:rPr>
          <w:rStyle w:val="Hyperlink"/>
          <w:rFonts w:ascii="Calibri" w:eastAsia="Open Sans" w:hAnsi="Calibri" w:cs="Calibri"/>
          <w:sz w:val="22"/>
          <w:szCs w:val="22"/>
        </w:rPr>
      </w:pPr>
      <w:hyperlink r:id="rId9" w:history="1">
        <w:r w:rsidR="00B2071A">
          <w:rPr>
            <w:rStyle w:val="Hyperlink"/>
            <w:rFonts w:ascii="Calibri" w:eastAsia="Open Sans" w:hAnsi="Calibri" w:cs="Calibri"/>
            <w:sz w:val="22"/>
          </w:rPr>
          <w:t>https://www.dec.ny.gov/docs/water_pdf/researchguide.pdf</w:t>
        </w:r>
      </w:hyperlink>
    </w:p>
    <w:p w14:paraId="2CBC931E" w14:textId="77777777" w:rsidR="00B2071A" w:rsidRDefault="00000000" w:rsidP="00B2071A">
      <w:pPr>
        <w:pStyle w:val="ListParagraph"/>
        <w:widowControl w:val="0"/>
        <w:numPr>
          <w:ilvl w:val="0"/>
          <w:numId w:val="4"/>
        </w:numPr>
        <w:spacing w:line="240" w:lineRule="auto"/>
      </w:pPr>
      <w:hyperlink r:id="rId10" w:history="1">
        <w:r w:rsidR="00B2071A">
          <w:rPr>
            <w:rStyle w:val="Hyperlink"/>
            <w:rFonts w:ascii="Calibri" w:hAnsi="Calibri" w:cs="Calibri"/>
            <w:sz w:val="22"/>
          </w:rPr>
          <w:t>https://www.morningagclips.com/wp-content/uploads/2019/04/28774453358_37389bee19_z.jpg</w:t>
        </w:r>
      </w:hyperlink>
    </w:p>
    <w:p w14:paraId="5964B70B" w14:textId="77777777" w:rsidR="00B2071A" w:rsidRDefault="00000000" w:rsidP="00B2071A">
      <w:pPr>
        <w:pStyle w:val="ListParagraph"/>
        <w:widowControl w:val="0"/>
        <w:numPr>
          <w:ilvl w:val="0"/>
          <w:numId w:val="4"/>
        </w:numPr>
        <w:spacing w:line="240" w:lineRule="auto"/>
        <w:rPr>
          <w:rFonts w:ascii="Calibri" w:hAnsi="Calibri" w:cs="Calibri"/>
          <w:sz w:val="22"/>
        </w:rPr>
      </w:pPr>
      <w:hyperlink r:id="rId11" w:history="1">
        <w:r w:rsidR="00B2071A">
          <w:rPr>
            <w:rStyle w:val="Hyperlink"/>
            <w:rFonts w:ascii="Calibri" w:hAnsi="Calibri" w:cs="Calibri"/>
            <w:sz w:val="22"/>
          </w:rPr>
          <w:t>https://www.youtube.com/embed/HSoHkG7bbJE?feature=oembed</w:t>
        </w:r>
      </w:hyperlink>
    </w:p>
    <w:p w14:paraId="07CF1656" w14:textId="77777777" w:rsidR="00B2071A" w:rsidRDefault="00000000" w:rsidP="00B2071A">
      <w:pPr>
        <w:pStyle w:val="ListParagraph"/>
        <w:numPr>
          <w:ilvl w:val="0"/>
          <w:numId w:val="4"/>
        </w:numPr>
        <w:rPr>
          <w:rFonts w:ascii="Calibri" w:hAnsi="Calibri" w:cs="Calibri"/>
          <w:sz w:val="22"/>
        </w:rPr>
      </w:pPr>
      <w:hyperlink r:id="rId12" w:history="1">
        <w:r w:rsidR="00B2071A">
          <w:rPr>
            <w:rStyle w:val="cf01"/>
            <w:rFonts w:ascii="Calibri" w:hAnsi="Calibri" w:cs="Calibri"/>
            <w:color w:val="0000FF"/>
            <w:sz w:val="22"/>
            <w:u w:val="single"/>
          </w:rPr>
          <w:t>https://www.canada.ca/en/environment-climate-change/services/freshwater-quality-monitoring/publications/phosphorus-aquatic-ecosystems/chapter-1.html</w:t>
        </w:r>
      </w:hyperlink>
    </w:p>
    <w:p w14:paraId="2E98A5F4" w14:textId="77777777" w:rsidR="00B2071A" w:rsidRDefault="00000000" w:rsidP="00B2071A">
      <w:pPr>
        <w:pStyle w:val="ListParagraph"/>
        <w:numPr>
          <w:ilvl w:val="0"/>
          <w:numId w:val="4"/>
        </w:numPr>
        <w:rPr>
          <w:rFonts w:ascii="Calibri" w:hAnsi="Calibri" w:cs="Calibri"/>
          <w:sz w:val="22"/>
        </w:rPr>
      </w:pPr>
      <w:hyperlink r:id="rId13" w:history="1">
        <w:r w:rsidR="00B2071A">
          <w:rPr>
            <w:rStyle w:val="cf01"/>
            <w:rFonts w:ascii="Calibri" w:hAnsi="Calibri" w:cs="Calibri"/>
            <w:color w:val="0000FF"/>
            <w:sz w:val="22"/>
            <w:u w:val="single"/>
          </w:rPr>
          <w:t>https://newyork.agclassroom.org/matrix/lesson/802/</w:t>
        </w:r>
      </w:hyperlink>
    </w:p>
    <w:p w14:paraId="31234AC6" w14:textId="77777777" w:rsidR="00B2071A" w:rsidRDefault="00000000" w:rsidP="00B2071A">
      <w:pPr>
        <w:pStyle w:val="ListParagraph"/>
        <w:numPr>
          <w:ilvl w:val="0"/>
          <w:numId w:val="4"/>
        </w:numPr>
        <w:rPr>
          <w:rFonts w:ascii="Calibri" w:hAnsi="Calibri" w:cs="Calibri"/>
          <w:sz w:val="22"/>
        </w:rPr>
      </w:pPr>
      <w:hyperlink r:id="rId14" w:history="1">
        <w:r w:rsidR="00B2071A">
          <w:rPr>
            <w:rStyle w:val="cf01"/>
            <w:rFonts w:ascii="Calibri" w:hAnsi="Calibri" w:cs="Calibri"/>
            <w:color w:val="0000FF"/>
            <w:sz w:val="22"/>
            <w:u w:val="single"/>
          </w:rPr>
          <w:t>https://assets.savvas.com/asset_mgr/current/202131/LabSamp_MLBio.pdf</w:t>
        </w:r>
      </w:hyperlink>
    </w:p>
    <w:p w14:paraId="31F84C32" w14:textId="77777777" w:rsidR="00B2071A" w:rsidRDefault="00000000" w:rsidP="00B2071A">
      <w:pPr>
        <w:pStyle w:val="ListParagraph"/>
        <w:numPr>
          <w:ilvl w:val="0"/>
          <w:numId w:val="4"/>
        </w:numPr>
        <w:rPr>
          <w:rFonts w:ascii="Calibri" w:hAnsi="Calibri" w:cs="Calibri"/>
          <w:sz w:val="22"/>
        </w:rPr>
      </w:pPr>
      <w:hyperlink r:id="rId15" w:history="1">
        <w:r w:rsidR="00B2071A">
          <w:rPr>
            <w:rStyle w:val="Hyperlink"/>
            <w:rFonts w:ascii="Calibri" w:hAnsi="Calibri" w:cs="Calibri"/>
            <w:sz w:val="22"/>
          </w:rPr>
          <w:t>https://lpelc.org/the-michigan-enviroimpact-tool-a-supporting-tool-to-help-farmers-in-forecasting-manure-nutrient-runoff-risk/</w:t>
        </w:r>
      </w:hyperlink>
    </w:p>
    <w:p w14:paraId="1D8FF1D5" w14:textId="77777777" w:rsidR="00B2071A" w:rsidRDefault="00000000" w:rsidP="00B2071A">
      <w:pPr>
        <w:pStyle w:val="ListParagraph"/>
        <w:numPr>
          <w:ilvl w:val="0"/>
          <w:numId w:val="4"/>
        </w:numPr>
        <w:rPr>
          <w:rFonts w:ascii="Calibri" w:eastAsia="Trebuchet MS" w:hAnsi="Calibri" w:cs="Calibri"/>
          <w:sz w:val="22"/>
        </w:rPr>
      </w:pPr>
      <w:hyperlink r:id="rId16" w:history="1">
        <w:r w:rsidR="00B2071A">
          <w:rPr>
            <w:rStyle w:val="Hyperlink"/>
            <w:rFonts w:ascii="Calibri" w:eastAsia="Trebuchet MS" w:hAnsi="Calibri" w:cs="Calibri"/>
            <w:sz w:val="22"/>
          </w:rPr>
          <w:t>https://www.usda.gov/media/blog/2017/12/13/farmers-keeping-nutrients-field-out-streams</w:t>
        </w:r>
      </w:hyperlink>
    </w:p>
    <w:p w14:paraId="363D3FC9" w14:textId="77777777" w:rsidR="00B2071A" w:rsidRDefault="00B2071A" w:rsidP="00B2071A">
      <w:pPr>
        <w:pStyle w:val="ListParagraph"/>
        <w:numPr>
          <w:ilvl w:val="0"/>
          <w:numId w:val="4"/>
        </w:numPr>
        <w:rPr>
          <w:rStyle w:val="cf01"/>
          <w:rFonts w:ascii="Calibri" w:hAnsi="Calibri" w:cs="Calibri"/>
          <w:sz w:val="22"/>
        </w:rPr>
      </w:pPr>
      <w:r>
        <w:rPr>
          <w:sz w:val="22"/>
        </w:rPr>
        <w:fldChar w:fldCharType="begin"/>
      </w:r>
      <w:r w:rsidRPr="00B2071A">
        <w:rPr>
          <w:sz w:val="22"/>
        </w:rPr>
        <w:instrText xml:space="preserve"> HYPERLINK "https://www.feedlotmagazine.com/news/feedlot_special/2022-msu-feedlot-educational-series/article_e3c4f044-6d71-11ec-ae65-7f78422b6ac5.html" </w:instrText>
      </w:r>
      <w:r>
        <w:rPr>
          <w:sz w:val="22"/>
        </w:rPr>
      </w:r>
      <w:r>
        <w:rPr>
          <w:sz w:val="22"/>
        </w:rPr>
        <w:fldChar w:fldCharType="separate"/>
      </w:r>
      <w:r>
        <w:rPr>
          <w:rStyle w:val="cf01"/>
          <w:color w:val="0000FF"/>
          <w:sz w:val="22"/>
          <w:szCs w:val="22"/>
          <w:u w:val="single"/>
          <w:rPrChange w:id="4" w:author="Unknown" w:date="2023-02-06T12:22:00Z">
            <w:rPr>
              <w:rStyle w:val="cf01"/>
              <w:color w:val="0000FF"/>
              <w:u w:val="single"/>
            </w:rPr>
          </w:rPrChange>
        </w:rPr>
        <w:t>https://www.feedlotmagazine.com/news/feedlot_special/2022-msu-feedlot-educational-series/article_e3c4f044-6d71-11ec-ae65-7f78422b6ac5.html</w:t>
      </w:r>
      <w:r w:rsidRPr="00E845AB">
        <w:rPr>
          <w:sz w:val="22"/>
        </w:rPr>
        <w:fldChar w:fldCharType="end"/>
      </w:r>
    </w:p>
    <w:p w14:paraId="66C4DFD4" w14:textId="77777777" w:rsidR="00B2071A" w:rsidRDefault="00000000" w:rsidP="00B2071A">
      <w:pPr>
        <w:pStyle w:val="ListParagraph"/>
        <w:numPr>
          <w:ilvl w:val="0"/>
          <w:numId w:val="4"/>
        </w:numPr>
        <w:rPr>
          <w:szCs w:val="22"/>
        </w:rPr>
      </w:pPr>
      <w:hyperlink r:id="rId17" w:history="1">
        <w:r w:rsidR="00B2071A">
          <w:rPr>
            <w:rStyle w:val="Hyperlink"/>
            <w:rFonts w:ascii="Calibri" w:hAnsi="Calibri" w:cs="Calibri"/>
            <w:sz w:val="22"/>
          </w:rPr>
          <w:t>https://extension.wsu.edu/animalag/content/protecting-the-water-on-your-small-farm/</w:t>
        </w:r>
      </w:hyperlink>
    </w:p>
    <w:p w14:paraId="29CBB1BE" w14:textId="77777777" w:rsidR="00B2071A" w:rsidRDefault="00000000" w:rsidP="00B2071A">
      <w:pPr>
        <w:pStyle w:val="ListParagraph"/>
        <w:numPr>
          <w:ilvl w:val="0"/>
          <w:numId w:val="4"/>
        </w:numPr>
        <w:rPr>
          <w:rFonts w:ascii="Calibri" w:hAnsi="Calibri" w:cs="Calibri"/>
          <w:sz w:val="22"/>
        </w:rPr>
      </w:pPr>
      <w:hyperlink r:id="rId18" w:history="1">
        <w:r w:rsidR="00B2071A">
          <w:rPr>
            <w:rStyle w:val="cf01"/>
            <w:rFonts w:ascii="Calibri" w:hAnsi="Calibri" w:cs="Calibri"/>
            <w:color w:val="0000FF"/>
            <w:sz w:val="22"/>
            <w:u w:val="single"/>
          </w:rPr>
          <w:t>https://extension.sdstate.edu/impacts-drought-soil-water-forage-and-livestock-grazing-systems</w:t>
        </w:r>
      </w:hyperlink>
    </w:p>
    <w:p w14:paraId="066E84D1" w14:textId="77777777" w:rsidR="00B2071A" w:rsidRDefault="00000000" w:rsidP="00B2071A">
      <w:pPr>
        <w:pStyle w:val="ListParagraph"/>
        <w:numPr>
          <w:ilvl w:val="0"/>
          <w:numId w:val="4"/>
        </w:numPr>
        <w:rPr>
          <w:rFonts w:ascii="Calibri" w:hAnsi="Calibri" w:cs="Calibri"/>
          <w:sz w:val="22"/>
        </w:rPr>
      </w:pPr>
      <w:hyperlink r:id="rId19" w:history="1">
        <w:r w:rsidR="00B2071A">
          <w:rPr>
            <w:rStyle w:val="cf01"/>
            <w:rFonts w:ascii="Calibri" w:hAnsi="Calibri" w:cs="Calibri"/>
            <w:color w:val="0000FF"/>
            <w:sz w:val="22"/>
            <w:u w:val="single"/>
          </w:rPr>
          <w:t>https://www.sustainablefarms.org.au/news/benefit-cost-analysis-lends-support-for-improved-farm-dam-management/</w:t>
        </w:r>
      </w:hyperlink>
    </w:p>
    <w:p w14:paraId="58EA01A4" w14:textId="77777777" w:rsidR="00B2071A" w:rsidRDefault="00000000" w:rsidP="00B2071A">
      <w:pPr>
        <w:pStyle w:val="pf0"/>
        <w:numPr>
          <w:ilvl w:val="0"/>
          <w:numId w:val="4"/>
        </w:numPr>
        <w:spacing w:before="0" w:beforeAutospacing="0" w:after="0" w:afterAutospacing="0"/>
        <w:rPr>
          <w:rFonts w:ascii="Calibri" w:hAnsi="Calibri" w:cs="Calibri"/>
          <w:sz w:val="22"/>
          <w:szCs w:val="22"/>
        </w:rPr>
      </w:pPr>
      <w:hyperlink r:id="rId20" w:history="1">
        <w:r w:rsidR="00B2071A">
          <w:rPr>
            <w:rStyle w:val="Hyperlink"/>
            <w:rFonts w:ascii="Calibri" w:hAnsi="Calibri" w:cs="Calibri"/>
            <w:sz w:val="22"/>
            <w:szCs w:val="22"/>
          </w:rPr>
          <w:t>https://www.usda.gov/media/blog/2017/12/13/farmers-keeping-nutrients-field-out-streams</w:t>
        </w:r>
      </w:hyperlink>
    </w:p>
    <w:p w14:paraId="244DE7DE" w14:textId="77777777" w:rsidR="00B2071A" w:rsidRDefault="00000000" w:rsidP="00B2071A">
      <w:pPr>
        <w:pStyle w:val="pf0"/>
        <w:numPr>
          <w:ilvl w:val="0"/>
          <w:numId w:val="4"/>
        </w:numPr>
        <w:rPr>
          <w:rFonts w:ascii="Calibri" w:hAnsi="Calibri" w:cs="Calibri"/>
          <w:sz w:val="22"/>
          <w:szCs w:val="22"/>
        </w:rPr>
      </w:pPr>
      <w:hyperlink r:id="rId21" w:history="1">
        <w:r w:rsidR="00B2071A">
          <w:rPr>
            <w:rStyle w:val="cf01"/>
            <w:rFonts w:ascii="Calibri" w:hAnsi="Calibri" w:cs="Calibri"/>
            <w:color w:val="0000FF"/>
            <w:sz w:val="22"/>
            <w:szCs w:val="22"/>
            <w:u w:val="single"/>
          </w:rPr>
          <w:t>https://extension.missouri.edu/publications/eq681</w:t>
        </w:r>
      </w:hyperlink>
    </w:p>
    <w:p w14:paraId="5BC4E9B7" w14:textId="77777777" w:rsidR="00B2071A" w:rsidRDefault="00000000" w:rsidP="00B2071A">
      <w:pPr>
        <w:pStyle w:val="pf0"/>
        <w:numPr>
          <w:ilvl w:val="0"/>
          <w:numId w:val="4"/>
        </w:numPr>
        <w:rPr>
          <w:rFonts w:ascii="Calibri" w:hAnsi="Calibri" w:cs="Calibri"/>
          <w:sz w:val="22"/>
          <w:szCs w:val="22"/>
        </w:rPr>
      </w:pPr>
      <w:hyperlink r:id="rId22" w:history="1">
        <w:r w:rsidR="00B2071A">
          <w:rPr>
            <w:rStyle w:val="cf01"/>
            <w:rFonts w:ascii="Calibri" w:hAnsi="Calibri" w:cs="Calibri"/>
            <w:color w:val="0000FF"/>
            <w:sz w:val="22"/>
            <w:szCs w:val="22"/>
            <w:u w:val="single"/>
          </w:rPr>
          <w:t>https://extension.sdstate.edu/impacts-drought-soil-water-forage-and-livestock-grazing-systems</w:t>
        </w:r>
      </w:hyperlink>
    </w:p>
    <w:p w14:paraId="2C4708EB" w14:textId="77777777" w:rsidR="00B2071A" w:rsidRDefault="00000000" w:rsidP="00B2071A">
      <w:pPr>
        <w:pStyle w:val="pf0"/>
        <w:numPr>
          <w:ilvl w:val="0"/>
          <w:numId w:val="4"/>
        </w:numPr>
        <w:rPr>
          <w:rFonts w:ascii="Calibri" w:hAnsi="Calibri" w:cs="Calibri"/>
          <w:sz w:val="22"/>
          <w:szCs w:val="22"/>
        </w:rPr>
      </w:pPr>
      <w:hyperlink r:id="rId23" w:history="1">
        <w:r w:rsidR="00B2071A">
          <w:rPr>
            <w:rStyle w:val="cf01"/>
            <w:rFonts w:ascii="Calibri" w:hAnsi="Calibri" w:cs="Calibri"/>
            <w:color w:val="0000FF"/>
            <w:sz w:val="22"/>
            <w:szCs w:val="22"/>
            <w:u w:val="single"/>
          </w:rPr>
          <w:t>https://www.sustainablefarms.org.au/news/fencing-farm-dams-halves-methane-emissions/</w:t>
        </w:r>
      </w:hyperlink>
    </w:p>
    <w:p w14:paraId="3C2DE761" w14:textId="77777777" w:rsidR="00B2071A" w:rsidRDefault="00000000" w:rsidP="00B2071A">
      <w:pPr>
        <w:pStyle w:val="ListParagraph"/>
        <w:numPr>
          <w:ilvl w:val="0"/>
          <w:numId w:val="4"/>
        </w:numPr>
        <w:rPr>
          <w:rFonts w:ascii="Calibri" w:eastAsia="Open Sans" w:hAnsi="Calibri" w:cs="Calibri"/>
          <w:sz w:val="22"/>
          <w:szCs w:val="22"/>
        </w:rPr>
      </w:pPr>
      <w:hyperlink r:id="rId24" w:history="1">
        <w:r w:rsidR="00B2071A">
          <w:rPr>
            <w:rStyle w:val="Hyperlink"/>
            <w:rFonts w:ascii="Calibri" w:eastAsia="Open Sans" w:hAnsi="Calibri" w:cs="Calibri"/>
            <w:sz w:val="22"/>
          </w:rPr>
          <w:t>https://extension.wsu.edu/animalag/content/protecting-the-water-on-your-small-farm/</w:t>
        </w:r>
      </w:hyperlink>
    </w:p>
    <w:p w14:paraId="10F582AE" w14:textId="30A6B36F" w:rsidR="00B2071A" w:rsidRPr="00B2071A" w:rsidRDefault="00000000" w:rsidP="00B2071A">
      <w:pPr>
        <w:pStyle w:val="ListParagraph"/>
        <w:rPr>
          <w:rFonts w:ascii="Calibri" w:hAnsi="Calibri" w:cs="Calibri"/>
          <w:sz w:val="22"/>
        </w:rPr>
      </w:pPr>
      <w:hyperlink r:id="rId25" w:history="1">
        <w:r w:rsidR="00B2071A">
          <w:rPr>
            <w:rStyle w:val="cf01"/>
            <w:rFonts w:ascii="Calibri" w:hAnsi="Calibri" w:cs="Calibri"/>
            <w:color w:val="0000FF"/>
            <w:sz w:val="22"/>
            <w:u w:val="single"/>
          </w:rPr>
          <w:t>0-how-clean-is-the-water-student.pdf (nourishthefuture.org)</w:t>
        </w:r>
      </w:hyperlink>
    </w:p>
    <w:p w14:paraId="3BD1DF81" w14:textId="2D23C8F2" w:rsidR="00522C38" w:rsidRPr="00B56688" w:rsidRDefault="00000000" w:rsidP="00B56688">
      <w:pPr>
        <w:pStyle w:val="Heading3"/>
        <w:rPr>
          <w:rFonts w:ascii="Open Sans" w:eastAsia="Open Sans" w:hAnsi="Open Sans" w:cs="Open Sans"/>
          <w:b/>
          <w:color w:val="FA873D"/>
        </w:rPr>
      </w:pPr>
      <w:r>
        <w:rPr>
          <w:rFonts w:ascii="Open Sans" w:eastAsia="Open Sans" w:hAnsi="Open Sans" w:cs="Open Sans"/>
          <w:b/>
          <w:color w:val="FA873D"/>
        </w:rPr>
        <w:t>Collaborations</w:t>
      </w:r>
    </w:p>
    <w:p w14:paraId="7D7836F2" w14:textId="77777777" w:rsidR="00522C38" w:rsidRDefault="00522C38">
      <w:pPr>
        <w:rPr>
          <w:rFonts w:ascii="Open Sans" w:eastAsia="Open Sans" w:hAnsi="Open Sans" w:cs="Open Sans"/>
          <w:sz w:val="22"/>
          <w:szCs w:val="22"/>
        </w:rPr>
      </w:pPr>
    </w:p>
    <w:p w14:paraId="07E0CF03" w14:textId="77777777" w:rsidR="00522C38" w:rsidRDefault="00522C38">
      <w:pPr>
        <w:rPr>
          <w:rFonts w:ascii="Open Sans" w:eastAsia="Open Sans" w:hAnsi="Open Sans" w:cs="Open Sans"/>
          <w:sz w:val="22"/>
          <w:szCs w:val="22"/>
        </w:rPr>
      </w:pPr>
    </w:p>
    <w:tbl>
      <w:tblPr>
        <w:tblStyle w:val="af2"/>
        <w:tblW w:w="108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600"/>
        <w:gridCol w:w="3600"/>
        <w:gridCol w:w="3600"/>
      </w:tblGrid>
      <w:tr w:rsidR="00522C38" w14:paraId="07B48CE6" w14:textId="77777777">
        <w:trPr>
          <w:trHeight w:val="1978"/>
        </w:trPr>
        <w:tc>
          <w:tcPr>
            <w:tcW w:w="3600" w:type="dxa"/>
            <w:tcBorders>
              <w:top w:val="single" w:sz="8" w:space="0" w:color="FFFFFF"/>
              <w:left w:val="single" w:sz="8" w:space="0" w:color="FFFFFF"/>
              <w:bottom w:val="single" w:sz="8" w:space="0" w:color="FFFFFF"/>
              <w:right w:val="single" w:sz="8" w:space="0" w:color="FFFFFF"/>
            </w:tcBorders>
            <w:shd w:val="clear" w:color="auto" w:fill="auto"/>
            <w:tcMar>
              <w:top w:w="100" w:type="dxa"/>
              <w:left w:w="100" w:type="dxa"/>
              <w:bottom w:w="100" w:type="dxa"/>
              <w:right w:w="100" w:type="dxa"/>
            </w:tcMar>
            <w:vAlign w:val="center"/>
          </w:tcPr>
          <w:p w14:paraId="56726B8C" w14:textId="77777777" w:rsidR="00522C38" w:rsidRDefault="00000000">
            <w:pPr>
              <w:widowControl w:val="0"/>
              <w:spacing w:line="240" w:lineRule="auto"/>
              <w:jc w:val="center"/>
              <w:rPr>
                <w:rFonts w:ascii="Open Sans" w:eastAsia="Open Sans" w:hAnsi="Open Sans" w:cs="Open Sans"/>
                <w:sz w:val="20"/>
                <w:szCs w:val="20"/>
              </w:rPr>
            </w:pPr>
            <w:r>
              <w:rPr>
                <w:rFonts w:ascii="Open Sans" w:eastAsia="Open Sans" w:hAnsi="Open Sans" w:cs="Open Sans"/>
                <w:noProof/>
                <w:sz w:val="20"/>
                <w:szCs w:val="20"/>
              </w:rPr>
              <w:lastRenderedPageBreak/>
              <w:drawing>
                <wp:inline distT="114300" distB="114300" distL="114300" distR="114300" wp14:anchorId="15F07C10" wp14:editId="45D43EB0">
                  <wp:extent cx="1600200" cy="1600200"/>
                  <wp:effectExtent l="0" t="0" r="0" b="0"/>
                  <wp:docPr id="43"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26"/>
                          <a:srcRect/>
                          <a:stretch>
                            <a:fillRect/>
                          </a:stretch>
                        </pic:blipFill>
                        <pic:spPr>
                          <a:xfrm>
                            <a:off x="0" y="0"/>
                            <a:ext cx="1600200" cy="1600200"/>
                          </a:xfrm>
                          <a:prstGeom prst="rect">
                            <a:avLst/>
                          </a:prstGeom>
                          <a:ln/>
                        </pic:spPr>
                      </pic:pic>
                    </a:graphicData>
                  </a:graphic>
                </wp:inline>
              </w:drawing>
            </w:r>
          </w:p>
        </w:tc>
        <w:tc>
          <w:tcPr>
            <w:tcW w:w="3600" w:type="dxa"/>
            <w:tcBorders>
              <w:top w:val="single" w:sz="8" w:space="0" w:color="FFFFFF"/>
              <w:left w:val="single" w:sz="8" w:space="0" w:color="FFFFFF"/>
              <w:bottom w:val="single" w:sz="8" w:space="0" w:color="FFFFFF"/>
              <w:right w:val="single" w:sz="8" w:space="0" w:color="FFFFFF"/>
            </w:tcBorders>
            <w:shd w:val="clear" w:color="auto" w:fill="auto"/>
            <w:tcMar>
              <w:top w:w="100" w:type="dxa"/>
              <w:left w:w="100" w:type="dxa"/>
              <w:bottom w:w="100" w:type="dxa"/>
              <w:right w:w="100" w:type="dxa"/>
            </w:tcMar>
            <w:vAlign w:val="center"/>
          </w:tcPr>
          <w:p w14:paraId="7E94C24E" w14:textId="77777777" w:rsidR="00522C38" w:rsidRDefault="00522C38">
            <w:pPr>
              <w:widowControl w:val="0"/>
              <w:spacing w:line="240" w:lineRule="auto"/>
              <w:rPr>
                <w:rFonts w:ascii="Open Sans" w:eastAsia="Open Sans" w:hAnsi="Open Sans" w:cs="Open Sans"/>
                <w:sz w:val="20"/>
                <w:szCs w:val="20"/>
              </w:rPr>
            </w:pPr>
          </w:p>
          <w:p w14:paraId="2BEF327B" w14:textId="77777777" w:rsidR="00522C38" w:rsidRDefault="00522C38">
            <w:pPr>
              <w:widowControl w:val="0"/>
              <w:spacing w:line="240" w:lineRule="auto"/>
              <w:rPr>
                <w:rFonts w:ascii="Open Sans" w:eastAsia="Open Sans" w:hAnsi="Open Sans" w:cs="Open Sans"/>
                <w:sz w:val="20"/>
                <w:szCs w:val="20"/>
              </w:rPr>
            </w:pPr>
          </w:p>
          <w:p w14:paraId="1270742D" w14:textId="77777777" w:rsidR="00522C38" w:rsidRDefault="00000000">
            <w:pPr>
              <w:widowControl w:val="0"/>
              <w:spacing w:line="240" w:lineRule="auto"/>
              <w:rPr>
                <w:rFonts w:ascii="Open Sans" w:eastAsia="Open Sans" w:hAnsi="Open Sans" w:cs="Open Sans"/>
                <w:sz w:val="20"/>
                <w:szCs w:val="20"/>
              </w:rPr>
            </w:pPr>
            <w:r>
              <w:rPr>
                <w:rFonts w:ascii="Open Sans" w:eastAsia="Open Sans" w:hAnsi="Open Sans" w:cs="Open Sans"/>
                <w:noProof/>
                <w:sz w:val="20"/>
                <w:szCs w:val="20"/>
              </w:rPr>
              <w:drawing>
                <wp:inline distT="114300" distB="114300" distL="114300" distR="114300" wp14:anchorId="7A75CDB6" wp14:editId="1461AEEA">
                  <wp:extent cx="2103120" cy="769652"/>
                  <wp:effectExtent l="0" t="0" r="0" b="0"/>
                  <wp:docPr id="39"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27"/>
                          <a:srcRect/>
                          <a:stretch>
                            <a:fillRect/>
                          </a:stretch>
                        </pic:blipFill>
                        <pic:spPr>
                          <a:xfrm>
                            <a:off x="0" y="0"/>
                            <a:ext cx="2103120" cy="769652"/>
                          </a:xfrm>
                          <a:prstGeom prst="rect">
                            <a:avLst/>
                          </a:prstGeom>
                          <a:ln/>
                        </pic:spPr>
                      </pic:pic>
                    </a:graphicData>
                  </a:graphic>
                </wp:inline>
              </w:drawing>
            </w:r>
          </w:p>
        </w:tc>
        <w:tc>
          <w:tcPr>
            <w:tcW w:w="3600" w:type="dxa"/>
            <w:tcBorders>
              <w:top w:val="single" w:sz="8" w:space="0" w:color="FFFFFF"/>
              <w:left w:val="single" w:sz="8" w:space="0" w:color="FFFFFF"/>
              <w:bottom w:val="single" w:sz="8" w:space="0" w:color="FFFFFF"/>
              <w:right w:val="single" w:sz="8" w:space="0" w:color="FFFFFF"/>
            </w:tcBorders>
            <w:shd w:val="clear" w:color="auto" w:fill="auto"/>
            <w:tcMar>
              <w:top w:w="100" w:type="dxa"/>
              <w:left w:w="100" w:type="dxa"/>
              <w:bottom w:w="100" w:type="dxa"/>
              <w:right w:w="100" w:type="dxa"/>
            </w:tcMar>
            <w:vAlign w:val="center"/>
          </w:tcPr>
          <w:p w14:paraId="7F258D81" w14:textId="77777777" w:rsidR="00522C38" w:rsidRDefault="00000000">
            <w:pPr>
              <w:widowControl w:val="0"/>
              <w:spacing w:line="240" w:lineRule="auto"/>
              <w:jc w:val="center"/>
              <w:rPr>
                <w:rFonts w:ascii="Open Sans" w:eastAsia="Open Sans" w:hAnsi="Open Sans" w:cs="Open Sans"/>
                <w:i/>
                <w:sz w:val="20"/>
                <w:szCs w:val="20"/>
              </w:rPr>
            </w:pPr>
            <w:r>
              <w:rPr>
                <w:rFonts w:ascii="Open Sans" w:eastAsia="Open Sans" w:hAnsi="Open Sans" w:cs="Open Sans"/>
                <w:i/>
                <w:sz w:val="20"/>
                <w:szCs w:val="20"/>
              </w:rPr>
              <w:t>Thanks to generous support from the New York Beef Council</w:t>
            </w:r>
          </w:p>
          <w:p w14:paraId="5EB27FAE" w14:textId="77777777" w:rsidR="00522C38" w:rsidRDefault="00522C38">
            <w:pPr>
              <w:widowControl w:val="0"/>
              <w:spacing w:line="240" w:lineRule="auto"/>
              <w:jc w:val="center"/>
              <w:rPr>
                <w:rFonts w:ascii="Open Sans" w:eastAsia="Open Sans" w:hAnsi="Open Sans" w:cs="Open Sans"/>
                <w:sz w:val="20"/>
                <w:szCs w:val="20"/>
              </w:rPr>
            </w:pPr>
          </w:p>
          <w:p w14:paraId="00D90CC2" w14:textId="77777777" w:rsidR="00522C38" w:rsidRDefault="00000000">
            <w:pPr>
              <w:widowControl w:val="0"/>
              <w:spacing w:line="240" w:lineRule="auto"/>
              <w:jc w:val="center"/>
              <w:rPr>
                <w:rFonts w:ascii="Open Sans" w:eastAsia="Open Sans" w:hAnsi="Open Sans" w:cs="Open Sans"/>
                <w:sz w:val="20"/>
                <w:szCs w:val="20"/>
              </w:rPr>
            </w:pPr>
            <w:r>
              <w:rPr>
                <w:rFonts w:ascii="Open Sans" w:eastAsia="Open Sans" w:hAnsi="Open Sans" w:cs="Open Sans"/>
                <w:noProof/>
                <w:sz w:val="20"/>
                <w:szCs w:val="20"/>
              </w:rPr>
              <w:drawing>
                <wp:inline distT="114300" distB="114300" distL="114300" distR="114300" wp14:anchorId="027FFACA" wp14:editId="02C4B835">
                  <wp:extent cx="2103120" cy="830732"/>
                  <wp:effectExtent l="0" t="0" r="0" b="0"/>
                  <wp:docPr id="4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8"/>
                          <a:srcRect/>
                          <a:stretch>
                            <a:fillRect/>
                          </a:stretch>
                        </pic:blipFill>
                        <pic:spPr>
                          <a:xfrm>
                            <a:off x="0" y="0"/>
                            <a:ext cx="2103120" cy="830732"/>
                          </a:xfrm>
                          <a:prstGeom prst="rect">
                            <a:avLst/>
                          </a:prstGeom>
                          <a:ln/>
                        </pic:spPr>
                      </pic:pic>
                    </a:graphicData>
                  </a:graphic>
                </wp:inline>
              </w:drawing>
            </w:r>
          </w:p>
          <w:p w14:paraId="21CB1A16" w14:textId="77777777" w:rsidR="00522C38" w:rsidRDefault="00522C38">
            <w:pPr>
              <w:widowControl w:val="0"/>
              <w:spacing w:line="240" w:lineRule="auto"/>
              <w:jc w:val="center"/>
              <w:rPr>
                <w:rFonts w:ascii="Open Sans" w:eastAsia="Open Sans" w:hAnsi="Open Sans" w:cs="Open Sans"/>
                <w:sz w:val="20"/>
                <w:szCs w:val="20"/>
              </w:rPr>
            </w:pPr>
          </w:p>
        </w:tc>
      </w:tr>
    </w:tbl>
    <w:p w14:paraId="348DF66F" w14:textId="77777777" w:rsidR="00522C38" w:rsidRDefault="00522C38">
      <w:pPr>
        <w:rPr>
          <w:rFonts w:ascii="Open Sans" w:eastAsia="Open Sans" w:hAnsi="Open Sans" w:cs="Open Sans"/>
          <w:sz w:val="22"/>
          <w:szCs w:val="22"/>
        </w:rPr>
      </w:pPr>
    </w:p>
    <w:p w14:paraId="4533DC39" w14:textId="77777777" w:rsidR="00522C38" w:rsidRDefault="00000000">
      <w:pPr>
        <w:jc w:val="center"/>
        <w:rPr>
          <w:rFonts w:ascii="Open Sans" w:eastAsia="Open Sans" w:hAnsi="Open Sans" w:cs="Open Sans"/>
          <w:i/>
          <w:sz w:val="22"/>
          <w:szCs w:val="22"/>
        </w:rPr>
      </w:pPr>
      <w:r>
        <w:rPr>
          <w:rFonts w:ascii="Open Sans" w:eastAsia="Open Sans" w:hAnsi="Open Sans" w:cs="Open Sans"/>
          <w:i/>
          <w:noProof/>
          <w:sz w:val="22"/>
          <w:szCs w:val="22"/>
        </w:rPr>
        <w:drawing>
          <wp:inline distT="114300" distB="114300" distL="114300" distR="114300" wp14:anchorId="4FDB6BCC" wp14:editId="2FC357D5">
            <wp:extent cx="1600200" cy="1308399"/>
            <wp:effectExtent l="0" t="0" r="0" b="0"/>
            <wp:docPr id="40"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29"/>
                    <a:srcRect/>
                    <a:stretch>
                      <a:fillRect/>
                    </a:stretch>
                  </pic:blipFill>
                  <pic:spPr>
                    <a:xfrm>
                      <a:off x="0" y="0"/>
                      <a:ext cx="1600200" cy="1308399"/>
                    </a:xfrm>
                    <a:prstGeom prst="rect">
                      <a:avLst/>
                    </a:prstGeom>
                    <a:ln/>
                  </pic:spPr>
                </pic:pic>
              </a:graphicData>
            </a:graphic>
          </wp:inline>
        </w:drawing>
      </w:r>
    </w:p>
    <w:p w14:paraId="71945B5F" w14:textId="77777777" w:rsidR="00522C38" w:rsidRDefault="00522C38"/>
    <w:p w14:paraId="638239CE" w14:textId="77777777" w:rsidR="00522C38" w:rsidRDefault="00522C38">
      <w:pPr>
        <w:keepNext/>
        <w:keepLines/>
        <w:pBdr>
          <w:top w:val="nil"/>
          <w:left w:val="nil"/>
          <w:bottom w:val="nil"/>
          <w:right w:val="nil"/>
          <w:between w:val="nil"/>
        </w:pBdr>
        <w:spacing w:before="400" w:after="120"/>
        <w:rPr>
          <w:rFonts w:ascii="Calibri" w:hAnsi="Calibri"/>
          <w:b/>
          <w:color w:val="FA873D"/>
          <w:sz w:val="30"/>
          <w:szCs w:val="30"/>
        </w:rPr>
      </w:pPr>
    </w:p>
    <w:sectPr w:rsidR="00522C38">
      <w:headerReference w:type="even" r:id="rId30"/>
      <w:headerReference w:type="default" r:id="rId31"/>
      <w:footerReference w:type="even" r:id="rId32"/>
      <w:footerReference w:type="default" r:id="rId33"/>
      <w:headerReference w:type="first" r:id="rId34"/>
      <w:footerReference w:type="first" r:id="rId35"/>
      <w:pgSz w:w="12240" w:h="15840"/>
      <w:pgMar w:top="0" w:right="720" w:bottom="720" w:left="720" w:header="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B4772E" w14:textId="77777777" w:rsidR="00D347A7" w:rsidRDefault="00D347A7">
      <w:pPr>
        <w:spacing w:line="240" w:lineRule="auto"/>
      </w:pPr>
      <w:r>
        <w:separator/>
      </w:r>
    </w:p>
  </w:endnote>
  <w:endnote w:type="continuationSeparator" w:id="0">
    <w:p w14:paraId="369C1B1C" w14:textId="77777777" w:rsidR="00D347A7" w:rsidRDefault="00D347A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Avenir">
    <w:panose1 w:val="02000503020000020003"/>
    <w:charset w:val="4D"/>
    <w:family w:val="swiss"/>
    <w:pitch w:val="variable"/>
    <w:sig w:usb0="800000AF" w:usb1="5000204A" w:usb2="00000000" w:usb3="00000000" w:csb0="0000009B" w:csb1="00000000"/>
  </w:font>
  <w:font w:name="Trebuchet MS">
    <w:panose1 w:val="020B0603020202020204"/>
    <w:charset w:val="00"/>
    <w:family w:val="swiss"/>
    <w:pitch w:val="variable"/>
    <w:sig w:usb0="00000287" w:usb1="00000000" w:usb2="00000000" w:usb3="00000000" w:csb0="0000009F" w:csb1="00000000"/>
  </w:font>
  <w:font w:name="Open Sans">
    <w:panose1 w:val="020B0606030504020204"/>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F8C810" w14:textId="77777777" w:rsidR="00522C38" w:rsidRDefault="00522C38">
    <w:pPr>
      <w:pBdr>
        <w:top w:val="nil"/>
        <w:left w:val="nil"/>
        <w:bottom w:val="nil"/>
        <w:right w:val="nil"/>
        <w:between w:val="nil"/>
      </w:pBdr>
      <w:tabs>
        <w:tab w:val="center" w:pos="4680"/>
        <w:tab w:val="right" w:pos="9360"/>
      </w:tabs>
      <w:spacing w:line="240" w:lineRule="auto"/>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25DF64" w14:textId="77777777" w:rsidR="00522C38" w:rsidRDefault="00522C38">
    <w:pPr>
      <w:widowControl w:val="0"/>
      <w:spacing w:line="240" w:lineRule="auto"/>
      <w:rPr>
        <w:color w:val="666666"/>
        <w:sz w:val="12"/>
        <w:szCs w:val="12"/>
      </w:rPr>
    </w:pPr>
  </w:p>
  <w:tbl>
    <w:tblPr>
      <w:tblStyle w:val="af4"/>
      <w:tblW w:w="11250"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350"/>
      <w:gridCol w:w="4920"/>
      <w:gridCol w:w="285"/>
      <w:gridCol w:w="3510"/>
      <w:gridCol w:w="1185"/>
    </w:tblGrid>
    <w:tr w:rsidR="00522C38" w14:paraId="03907FBB" w14:textId="77777777">
      <w:trPr>
        <w:jc w:val="center"/>
      </w:trPr>
      <w:tc>
        <w:tcPr>
          <w:tcW w:w="1350" w:type="dxa"/>
          <w:tcBorders>
            <w:top w:val="single" w:sz="8" w:space="0" w:color="FFFFFF"/>
            <w:left w:val="single" w:sz="8" w:space="0" w:color="FFFFFF"/>
            <w:bottom w:val="single" w:sz="8" w:space="0" w:color="FFFFFF"/>
            <w:right w:val="single" w:sz="8" w:space="0" w:color="FFFFFF"/>
          </w:tcBorders>
          <w:shd w:val="clear" w:color="auto" w:fill="auto"/>
          <w:tcMar>
            <w:top w:w="1" w:type="dxa"/>
            <w:left w:w="1" w:type="dxa"/>
            <w:bottom w:w="1" w:type="dxa"/>
            <w:right w:w="1" w:type="dxa"/>
          </w:tcMar>
          <w:vAlign w:val="center"/>
        </w:tcPr>
        <w:p w14:paraId="52F7B799" w14:textId="3748D90F" w:rsidR="00522C38" w:rsidRDefault="00522C38">
          <w:pPr>
            <w:widowControl w:val="0"/>
            <w:rPr>
              <w:i/>
              <w:color w:val="666666"/>
              <w:sz w:val="10"/>
              <w:szCs w:val="10"/>
            </w:rPr>
          </w:pPr>
        </w:p>
      </w:tc>
      <w:tc>
        <w:tcPr>
          <w:tcW w:w="4920" w:type="dxa"/>
          <w:tcBorders>
            <w:top w:val="single" w:sz="8" w:space="0" w:color="FFFFFF"/>
            <w:left w:val="single" w:sz="8" w:space="0" w:color="FFFFFF"/>
            <w:bottom w:val="single" w:sz="8" w:space="0" w:color="FFFFFF"/>
            <w:right w:val="single" w:sz="8" w:space="0" w:color="FFFFFF"/>
          </w:tcBorders>
          <w:shd w:val="clear" w:color="auto" w:fill="auto"/>
          <w:tcMar>
            <w:top w:w="1" w:type="dxa"/>
            <w:left w:w="1" w:type="dxa"/>
            <w:bottom w:w="1" w:type="dxa"/>
            <w:right w:w="1" w:type="dxa"/>
          </w:tcMar>
          <w:vAlign w:val="center"/>
        </w:tcPr>
        <w:p w14:paraId="044B523C" w14:textId="77777777" w:rsidR="00522C38" w:rsidRDefault="00000000">
          <w:pPr>
            <w:spacing w:line="288" w:lineRule="auto"/>
            <w:rPr>
              <w:color w:val="666666"/>
              <w:sz w:val="10"/>
              <w:szCs w:val="10"/>
            </w:rPr>
          </w:pPr>
          <w:r>
            <w:rPr>
              <w:i/>
              <w:color w:val="666666"/>
              <w:sz w:val="10"/>
              <w:szCs w:val="10"/>
              <w:highlight w:val="white"/>
            </w:rPr>
            <w:t xml:space="preserve">These materials are made freely available by the American Farm Bureau Foundation for Agriculture, a 501(c)3 nonprofit organization through generous support </w:t>
          </w:r>
          <w:r>
            <w:rPr>
              <w:i/>
              <w:color w:val="666666"/>
              <w:sz w:val="10"/>
              <w:szCs w:val="10"/>
            </w:rPr>
            <w:t>from the New York Beef Council.</w:t>
          </w:r>
        </w:p>
      </w:tc>
      <w:tc>
        <w:tcPr>
          <w:tcW w:w="285" w:type="dxa"/>
          <w:tcBorders>
            <w:top w:val="single" w:sz="8" w:space="0" w:color="FFFFFF"/>
            <w:left w:val="single" w:sz="8" w:space="0" w:color="FFFFFF"/>
            <w:bottom w:val="single" w:sz="8" w:space="0" w:color="FFFFFF"/>
            <w:right w:val="single" w:sz="8" w:space="0" w:color="FFFFFF"/>
          </w:tcBorders>
          <w:shd w:val="clear" w:color="auto" w:fill="auto"/>
          <w:tcMar>
            <w:top w:w="1" w:type="dxa"/>
            <w:left w:w="1" w:type="dxa"/>
            <w:bottom w:w="1" w:type="dxa"/>
            <w:right w:w="1" w:type="dxa"/>
          </w:tcMar>
          <w:vAlign w:val="center"/>
        </w:tcPr>
        <w:p w14:paraId="589E7F9E" w14:textId="77777777" w:rsidR="00522C38" w:rsidRDefault="00522C38">
          <w:pPr>
            <w:spacing w:line="288" w:lineRule="auto"/>
            <w:rPr>
              <w:i/>
              <w:color w:val="666666"/>
              <w:sz w:val="10"/>
              <w:szCs w:val="10"/>
              <w:highlight w:val="white"/>
            </w:rPr>
          </w:pPr>
        </w:p>
      </w:tc>
      <w:tc>
        <w:tcPr>
          <w:tcW w:w="3510" w:type="dxa"/>
          <w:tcBorders>
            <w:top w:val="single" w:sz="8" w:space="0" w:color="FFFFFF"/>
            <w:left w:val="single" w:sz="8" w:space="0" w:color="FFFFFF"/>
            <w:bottom w:val="single" w:sz="8" w:space="0" w:color="FFFFFF"/>
            <w:right w:val="single" w:sz="8" w:space="0" w:color="FFFFFF"/>
          </w:tcBorders>
          <w:shd w:val="clear" w:color="auto" w:fill="auto"/>
          <w:tcMar>
            <w:top w:w="1" w:type="dxa"/>
            <w:left w:w="1" w:type="dxa"/>
            <w:bottom w:w="1" w:type="dxa"/>
            <w:right w:w="1" w:type="dxa"/>
          </w:tcMar>
          <w:vAlign w:val="center"/>
        </w:tcPr>
        <w:p w14:paraId="5392B69A" w14:textId="77777777" w:rsidR="00522C38" w:rsidRDefault="00000000">
          <w:pPr>
            <w:widowControl w:val="0"/>
            <w:rPr>
              <w:color w:val="666666"/>
              <w:sz w:val="10"/>
              <w:szCs w:val="10"/>
            </w:rPr>
          </w:pPr>
          <w:r>
            <w:rPr>
              <w:color w:val="666666"/>
              <w:sz w:val="10"/>
              <w:szCs w:val="10"/>
            </w:rPr>
            <w:t xml:space="preserve">This work is licensed under a Creative Commons Attribution 4.0 License </w:t>
          </w:r>
          <w:hyperlink r:id="rId1">
            <w:r>
              <w:rPr>
                <w:color w:val="666666"/>
                <w:sz w:val="10"/>
                <w:szCs w:val="10"/>
                <w:u w:val="single"/>
              </w:rPr>
              <w:t>http://creativecommons.org/licenses/by/4.0/</w:t>
            </w:r>
          </w:hyperlink>
          <w:r>
            <w:rPr>
              <w:sz w:val="10"/>
              <w:szCs w:val="10"/>
            </w:rPr>
            <w:t xml:space="preserve"> </w:t>
          </w:r>
        </w:p>
      </w:tc>
      <w:tc>
        <w:tcPr>
          <w:tcW w:w="1185" w:type="dxa"/>
          <w:tcBorders>
            <w:top w:val="single" w:sz="8" w:space="0" w:color="FFFFFF"/>
            <w:left w:val="single" w:sz="8" w:space="0" w:color="FFFFFF"/>
            <w:bottom w:val="single" w:sz="8" w:space="0" w:color="FFFFFF"/>
            <w:right w:val="single" w:sz="8" w:space="0" w:color="FFFFFF"/>
          </w:tcBorders>
          <w:shd w:val="clear" w:color="auto" w:fill="auto"/>
          <w:tcMar>
            <w:top w:w="1" w:type="dxa"/>
            <w:left w:w="1" w:type="dxa"/>
            <w:bottom w:w="1" w:type="dxa"/>
            <w:right w:w="1" w:type="dxa"/>
          </w:tcMar>
          <w:vAlign w:val="center"/>
        </w:tcPr>
        <w:p w14:paraId="3E74027E" w14:textId="77777777" w:rsidR="00522C38" w:rsidRDefault="00000000">
          <w:pPr>
            <w:jc w:val="right"/>
            <w:rPr>
              <w:color w:val="666666"/>
              <w:sz w:val="10"/>
              <w:szCs w:val="10"/>
            </w:rPr>
          </w:pPr>
          <w:r>
            <w:rPr>
              <w:noProof/>
              <w:sz w:val="10"/>
              <w:szCs w:val="10"/>
            </w:rPr>
            <w:drawing>
              <wp:inline distT="114300" distB="114300" distL="114300" distR="114300" wp14:anchorId="0300696F" wp14:editId="41D976E7">
                <wp:extent cx="457200" cy="165100"/>
                <wp:effectExtent l="0" t="0" r="0" b="0"/>
                <wp:docPr id="42"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2"/>
                        <a:srcRect/>
                        <a:stretch>
                          <a:fillRect/>
                        </a:stretch>
                      </pic:blipFill>
                      <pic:spPr>
                        <a:xfrm>
                          <a:off x="0" y="0"/>
                          <a:ext cx="457200" cy="165100"/>
                        </a:xfrm>
                        <a:prstGeom prst="rect">
                          <a:avLst/>
                        </a:prstGeom>
                        <a:ln/>
                      </pic:spPr>
                    </pic:pic>
                  </a:graphicData>
                </a:graphic>
              </wp:inline>
            </w:drawing>
          </w:r>
        </w:p>
      </w:tc>
    </w:tr>
  </w:tbl>
  <w:p w14:paraId="5980E83F" w14:textId="77777777" w:rsidR="00522C38" w:rsidRDefault="00522C38"/>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09B9A3" w14:textId="77777777" w:rsidR="00E845AB" w:rsidRDefault="00E845A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BCCC96" w14:textId="77777777" w:rsidR="00D347A7" w:rsidRDefault="00D347A7">
      <w:pPr>
        <w:spacing w:line="240" w:lineRule="auto"/>
      </w:pPr>
      <w:r>
        <w:separator/>
      </w:r>
    </w:p>
  </w:footnote>
  <w:footnote w:type="continuationSeparator" w:id="0">
    <w:p w14:paraId="21097A8F" w14:textId="77777777" w:rsidR="00D347A7" w:rsidRDefault="00D347A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9E2F63" w14:textId="77777777" w:rsidR="00522C38" w:rsidRDefault="00522C38">
    <w:pPr>
      <w:pBdr>
        <w:top w:val="nil"/>
        <w:left w:val="nil"/>
        <w:bottom w:val="nil"/>
        <w:right w:val="nil"/>
        <w:between w:val="nil"/>
      </w:pBdr>
      <w:tabs>
        <w:tab w:val="center" w:pos="4680"/>
        <w:tab w:val="right" w:pos="9360"/>
      </w:tabs>
      <w:spacing w:line="240" w:lineRule="auto"/>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9E9012" w14:textId="77777777" w:rsidR="00522C38" w:rsidRDefault="00522C38">
    <w:pPr>
      <w:rPr>
        <w:sz w:val="20"/>
        <w:szCs w:val="20"/>
      </w:rPr>
    </w:pPr>
  </w:p>
  <w:tbl>
    <w:tblPr>
      <w:tblStyle w:val="af3"/>
      <w:tblW w:w="12240" w:type="dxa"/>
      <w:tblInd w:w="-73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6120"/>
      <w:gridCol w:w="6120"/>
    </w:tblGrid>
    <w:tr w:rsidR="00522C38" w14:paraId="7BF7AE9C" w14:textId="77777777">
      <w:trPr>
        <w:trHeight w:val="1530"/>
      </w:trPr>
      <w:tc>
        <w:tcPr>
          <w:tcW w:w="6120" w:type="dxa"/>
          <w:tcBorders>
            <w:top w:val="single" w:sz="8" w:space="0" w:color="CCCCCC"/>
            <w:left w:val="single" w:sz="8" w:space="0" w:color="CCCCCC"/>
            <w:bottom w:val="single" w:sz="8" w:space="0" w:color="CCCCCC"/>
            <w:right w:val="single" w:sz="8" w:space="0" w:color="CCCCCC"/>
          </w:tcBorders>
          <w:shd w:val="clear" w:color="auto" w:fill="CCCCCC"/>
          <w:tcMar>
            <w:top w:w="100" w:type="dxa"/>
            <w:left w:w="100" w:type="dxa"/>
            <w:bottom w:w="100" w:type="dxa"/>
            <w:right w:w="100" w:type="dxa"/>
          </w:tcMar>
        </w:tcPr>
        <w:p w14:paraId="3909CD51" w14:textId="77777777" w:rsidR="00522C38" w:rsidRDefault="00522C38">
          <w:pPr>
            <w:widowControl w:val="0"/>
            <w:pBdr>
              <w:top w:val="nil"/>
              <w:left w:val="nil"/>
              <w:bottom w:val="nil"/>
              <w:right w:val="nil"/>
              <w:between w:val="nil"/>
            </w:pBdr>
            <w:rPr>
              <w:sz w:val="20"/>
              <w:szCs w:val="20"/>
            </w:rPr>
          </w:pPr>
        </w:p>
        <w:p w14:paraId="481680E8" w14:textId="77777777" w:rsidR="00522C38" w:rsidRDefault="00000000">
          <w:pPr>
            <w:tabs>
              <w:tab w:val="left" w:pos="1848"/>
            </w:tabs>
            <w:ind w:left="-114"/>
            <w:rPr>
              <w:sz w:val="20"/>
              <w:szCs w:val="20"/>
            </w:rPr>
          </w:pPr>
          <w:r>
            <w:rPr>
              <w:sz w:val="20"/>
              <w:szCs w:val="20"/>
            </w:rPr>
            <w:tab/>
          </w:r>
        </w:p>
      </w:tc>
      <w:tc>
        <w:tcPr>
          <w:tcW w:w="6120" w:type="dxa"/>
          <w:tcBorders>
            <w:top w:val="single" w:sz="8" w:space="0" w:color="CCCCCC"/>
            <w:left w:val="single" w:sz="8" w:space="0" w:color="CCCCCC"/>
            <w:bottom w:val="single" w:sz="8" w:space="0" w:color="CCCCCC"/>
            <w:right w:val="single" w:sz="8" w:space="0" w:color="CCCCCC"/>
          </w:tcBorders>
          <w:shd w:val="clear" w:color="auto" w:fill="CCCCCC"/>
          <w:tcMar>
            <w:top w:w="100" w:type="dxa"/>
            <w:left w:w="100" w:type="dxa"/>
            <w:bottom w:w="100" w:type="dxa"/>
            <w:right w:w="100" w:type="dxa"/>
          </w:tcMar>
        </w:tcPr>
        <w:p w14:paraId="225C0E03" w14:textId="77777777" w:rsidR="00522C38" w:rsidRDefault="00000000">
          <w:pPr>
            <w:widowControl w:val="0"/>
            <w:pBdr>
              <w:top w:val="nil"/>
              <w:left w:val="nil"/>
              <w:bottom w:val="nil"/>
              <w:right w:val="nil"/>
              <w:between w:val="nil"/>
            </w:pBdr>
            <w:jc w:val="right"/>
            <w:rPr>
              <w:sz w:val="20"/>
              <w:szCs w:val="20"/>
            </w:rPr>
          </w:pPr>
          <w:r>
            <w:rPr>
              <w:sz w:val="20"/>
              <w:szCs w:val="20"/>
            </w:rPr>
            <w:t xml:space="preserve">   </w:t>
          </w:r>
          <w:r>
            <w:rPr>
              <w:noProof/>
            </w:rPr>
            <w:drawing>
              <wp:anchor distT="0" distB="0" distL="114300" distR="114300" simplePos="0" relativeHeight="251658240" behindDoc="0" locked="0" layoutInCell="1" hidden="0" allowOverlap="1" wp14:anchorId="618811B0" wp14:editId="3C1B6BB9">
                <wp:simplePos x="0" y="0"/>
                <wp:positionH relativeFrom="column">
                  <wp:posOffset>514350</wp:posOffset>
                </wp:positionH>
                <wp:positionV relativeFrom="paragraph">
                  <wp:posOffset>47625</wp:posOffset>
                </wp:positionV>
                <wp:extent cx="3006835" cy="671110"/>
                <wp:effectExtent l="0" t="0" r="0" b="0"/>
                <wp:wrapNone/>
                <wp:docPr id="38"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3006835" cy="671110"/>
                        </a:xfrm>
                        <a:prstGeom prst="rect">
                          <a:avLst/>
                        </a:prstGeom>
                        <a:ln/>
                      </pic:spPr>
                    </pic:pic>
                  </a:graphicData>
                </a:graphic>
              </wp:anchor>
            </w:drawing>
          </w:r>
        </w:p>
        <w:p w14:paraId="409258BD" w14:textId="77777777" w:rsidR="00522C38" w:rsidRDefault="00522C38">
          <w:pPr>
            <w:rPr>
              <w:sz w:val="20"/>
              <w:szCs w:val="20"/>
            </w:rPr>
          </w:pPr>
        </w:p>
        <w:p w14:paraId="496327B9" w14:textId="77777777" w:rsidR="00522C38" w:rsidRDefault="00522C38">
          <w:pPr>
            <w:rPr>
              <w:sz w:val="20"/>
              <w:szCs w:val="20"/>
            </w:rPr>
          </w:pPr>
        </w:p>
      </w:tc>
    </w:tr>
  </w:tbl>
  <w:p w14:paraId="67F27EAC" w14:textId="77777777" w:rsidR="00522C38" w:rsidRDefault="00522C38"/>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A60871" w14:textId="77777777" w:rsidR="00E845AB" w:rsidRDefault="00E845A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A457C8"/>
    <w:multiLevelType w:val="multilevel"/>
    <w:tmpl w:val="DC2ADBE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27133F3F"/>
    <w:multiLevelType w:val="hybridMultilevel"/>
    <w:tmpl w:val="2B8627B6"/>
    <w:lvl w:ilvl="0" w:tplc="EC24E4E8">
      <w:start w:val="1"/>
      <w:numFmt w:val="bullet"/>
      <w:lvlText w:val=""/>
      <w:lvlJc w:val="left"/>
      <w:pPr>
        <w:ind w:left="720" w:hanging="360"/>
      </w:pPr>
      <w:rPr>
        <w:rFonts w:ascii="Symbol" w:hAnsi="Symbol" w:hint="default"/>
        <w:color w:val="auto"/>
        <w:sz w:val="22"/>
        <w:szCs w:val="22"/>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3BAA318E"/>
    <w:multiLevelType w:val="multilevel"/>
    <w:tmpl w:val="A04851A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7D061BB9"/>
    <w:multiLevelType w:val="hybridMultilevel"/>
    <w:tmpl w:val="76F4F4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16cid:durableId="775910031">
    <w:abstractNumId w:val="0"/>
  </w:num>
  <w:num w:numId="2" w16cid:durableId="1085954686">
    <w:abstractNumId w:val="2"/>
  </w:num>
  <w:num w:numId="3" w16cid:durableId="1559130548">
    <w:abstractNumId w:val="1"/>
  </w:num>
  <w:num w:numId="4" w16cid:durableId="207881835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2C38"/>
    <w:rsid w:val="002A4C90"/>
    <w:rsid w:val="004301F4"/>
    <w:rsid w:val="00432AD9"/>
    <w:rsid w:val="00522C38"/>
    <w:rsid w:val="006F0582"/>
    <w:rsid w:val="007670BA"/>
    <w:rsid w:val="00AC5AF9"/>
    <w:rsid w:val="00B2071A"/>
    <w:rsid w:val="00B56688"/>
    <w:rsid w:val="00C80141"/>
    <w:rsid w:val="00D347A7"/>
    <w:rsid w:val="00E845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E4E585"/>
  <w15:docId w15:val="{E285C74A-24E4-4AA6-A5A0-A7BDA9E403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4"/>
        <w:szCs w:val="24"/>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F7FFC"/>
    <w:rPr>
      <w:rFonts w:asciiTheme="majorHAnsi" w:hAnsiTheme="majorHAnsi"/>
    </w:rPr>
  </w:style>
  <w:style w:type="paragraph" w:styleId="Heading1">
    <w:name w:val="heading 1"/>
    <w:aliases w:val="orange heading"/>
    <w:basedOn w:val="Normal"/>
    <w:next w:val="Normal"/>
    <w:uiPriority w:val="9"/>
    <w:qFormat/>
    <w:rsid w:val="001F7FFC"/>
    <w:pPr>
      <w:keepNext/>
      <w:keepLines/>
      <w:spacing w:before="400" w:after="120"/>
      <w:outlineLvl w:val="0"/>
    </w:pPr>
    <w:rPr>
      <w:sz w:val="40"/>
      <w:szCs w:val="40"/>
    </w:rPr>
  </w:style>
  <w:style w:type="paragraph" w:styleId="Heading2">
    <w:name w:val="heading 2"/>
    <w:basedOn w:val="Normal"/>
    <w:next w:val="Normal"/>
    <w:uiPriority w:val="9"/>
    <w:unhideWhenUsed/>
    <w:qFormat/>
    <w:pPr>
      <w:keepNext/>
      <w:keepLines/>
      <w:spacing w:before="360" w:after="120"/>
      <w:outlineLvl w:val="1"/>
    </w:pPr>
    <w:rPr>
      <w:sz w:val="32"/>
      <w:szCs w:val="32"/>
    </w:rPr>
  </w:style>
  <w:style w:type="paragraph" w:styleId="Heading3">
    <w:name w:val="heading 3"/>
    <w:basedOn w:val="Normal"/>
    <w:next w:val="Normal"/>
    <w:uiPriority w:val="9"/>
    <w:unhideWhenUsed/>
    <w:qFormat/>
    <w:pPr>
      <w:keepNext/>
      <w:keepLines/>
      <w:spacing w:before="320" w:after="200" w:line="360" w:lineRule="auto"/>
      <w:outlineLvl w:val="2"/>
    </w:pPr>
    <w:rPr>
      <w:color w:val="008342"/>
      <w:sz w:val="28"/>
      <w:szCs w:val="28"/>
    </w:rPr>
  </w:style>
  <w:style w:type="paragraph" w:styleId="Heading4">
    <w:name w:val="heading 4"/>
    <w:basedOn w:val="Normal"/>
    <w:next w:val="Normal"/>
    <w:uiPriority w:val="9"/>
    <w:unhideWhenUsed/>
    <w:qFormat/>
    <w:pPr>
      <w:keepNext/>
      <w:keepLines/>
      <w:spacing w:before="280" w:after="80"/>
      <w:outlineLvl w:val="3"/>
    </w:pPr>
    <w:rPr>
      <w:color w:val="666666"/>
    </w:rPr>
  </w:style>
  <w:style w:type="paragraph" w:styleId="Heading5">
    <w:name w:val="heading 5"/>
    <w:basedOn w:val="Normal"/>
    <w:next w:val="Normal"/>
    <w:uiPriority w:val="9"/>
    <w:unhideWhenUsed/>
    <w:qFormat/>
    <w:pPr>
      <w:keepNext/>
      <w:keepLines/>
      <w:spacing w:before="240" w:after="80"/>
      <w:outlineLvl w:val="4"/>
    </w:pPr>
    <w:rPr>
      <w:color w:val="666666"/>
    </w:rPr>
  </w:style>
  <w:style w:type="paragraph" w:styleId="Heading6">
    <w:name w:val="heading 6"/>
    <w:basedOn w:val="Normal"/>
    <w:next w:val="Normal"/>
    <w:uiPriority w:val="9"/>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200" w:line="360" w:lineRule="auto"/>
    </w:pPr>
    <w:rPr>
      <w:b/>
      <w:sz w:val="50"/>
      <w:szCs w:val="50"/>
    </w:rPr>
  </w:style>
  <w:style w:type="paragraph" w:styleId="Subtitle">
    <w:name w:val="Subtitle"/>
    <w:basedOn w:val="Normal"/>
    <w:next w:val="Normal"/>
    <w:uiPriority w:val="11"/>
    <w:qFormat/>
    <w:pPr>
      <w:keepNext/>
      <w:keepLines/>
      <w:spacing w:after="320"/>
    </w:pPr>
    <w:rPr>
      <w:rFonts w:ascii="Arial" w:eastAsia="Arial" w:hAnsi="Arial" w:cs="Arial"/>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table" w:customStyle="1" w:styleId="a3">
    <w:basedOn w:val="TableNormal"/>
    <w:tblPr>
      <w:tblStyleRowBandSize w:val="1"/>
      <w:tblStyleColBandSize w:val="1"/>
      <w:tblCellMar>
        <w:top w:w="100" w:type="dxa"/>
        <w:left w:w="100" w:type="dxa"/>
        <w:bottom w:w="100" w:type="dxa"/>
        <w:right w:w="100" w:type="dxa"/>
      </w:tblCellMar>
    </w:tblPr>
  </w:style>
  <w:style w:type="table" w:customStyle="1" w:styleId="a4">
    <w:basedOn w:val="TableNormal"/>
    <w:tblPr>
      <w:tblStyleRowBandSize w:val="1"/>
      <w:tblStyleColBandSize w:val="1"/>
      <w:tblCellMar>
        <w:top w:w="100" w:type="dxa"/>
        <w:left w:w="100" w:type="dxa"/>
        <w:bottom w:w="100" w:type="dxa"/>
        <w:right w:w="100" w:type="dxa"/>
      </w:tblCellMar>
    </w:tblPr>
  </w:style>
  <w:style w:type="table" w:customStyle="1" w:styleId="a5">
    <w:basedOn w:val="TableNormal"/>
    <w:tblPr>
      <w:tblStyleRowBandSize w:val="1"/>
      <w:tblStyleColBandSize w:val="1"/>
      <w:tblCellMar>
        <w:top w:w="100" w:type="dxa"/>
        <w:left w:w="100" w:type="dxa"/>
        <w:bottom w:w="100" w:type="dxa"/>
        <w:right w:w="100" w:type="dxa"/>
      </w:tblCellMar>
    </w:tblPr>
  </w:style>
  <w:style w:type="table" w:customStyle="1" w:styleId="a6">
    <w:basedOn w:val="TableNormal"/>
    <w:tblPr>
      <w:tblStyleRowBandSize w:val="1"/>
      <w:tblStyleColBandSize w:val="1"/>
      <w:tblCellMar>
        <w:top w:w="100" w:type="dxa"/>
        <w:left w:w="100" w:type="dxa"/>
        <w:bottom w:w="100" w:type="dxa"/>
        <w:right w:w="100" w:type="dxa"/>
      </w:tblCellMar>
    </w:tblPr>
  </w:style>
  <w:style w:type="table" w:customStyle="1" w:styleId="a7">
    <w:basedOn w:val="TableNormal"/>
    <w:tblPr>
      <w:tblStyleRowBandSize w:val="1"/>
      <w:tblStyleColBandSize w:val="1"/>
      <w:tblCellMar>
        <w:top w:w="100" w:type="dxa"/>
        <w:left w:w="100" w:type="dxa"/>
        <w:bottom w:w="100" w:type="dxa"/>
        <w:right w:w="100" w:type="dxa"/>
      </w:tblCellMar>
    </w:tblPr>
  </w:style>
  <w:style w:type="table" w:customStyle="1" w:styleId="a8">
    <w:basedOn w:val="TableNormal"/>
    <w:tblPr>
      <w:tblStyleRowBandSize w:val="1"/>
      <w:tblStyleColBandSize w:val="1"/>
      <w:tblCellMar>
        <w:top w:w="100" w:type="dxa"/>
        <w:left w:w="100" w:type="dxa"/>
        <w:bottom w:w="100" w:type="dxa"/>
        <w:right w:w="100" w:type="dxa"/>
      </w:tblCellMar>
    </w:tblPr>
  </w:style>
  <w:style w:type="table" w:customStyle="1" w:styleId="a9">
    <w:basedOn w:val="TableNormal"/>
    <w:tblPr>
      <w:tblStyleRowBandSize w:val="1"/>
      <w:tblStyleColBandSize w:val="1"/>
      <w:tblCellMar>
        <w:top w:w="100" w:type="dxa"/>
        <w:left w:w="100" w:type="dxa"/>
        <w:bottom w:w="100" w:type="dxa"/>
        <w:right w:w="100" w:type="dxa"/>
      </w:tblCellMar>
    </w:tblPr>
  </w:style>
  <w:style w:type="table" w:customStyle="1" w:styleId="aa">
    <w:basedOn w:val="TableNormal"/>
    <w:tblPr>
      <w:tblStyleRowBandSize w:val="1"/>
      <w:tblStyleColBandSize w:val="1"/>
      <w:tblCellMar>
        <w:top w:w="100" w:type="dxa"/>
        <w:left w:w="100" w:type="dxa"/>
        <w:bottom w:w="100" w:type="dxa"/>
        <w:right w:w="100" w:type="dxa"/>
      </w:tblCellMar>
    </w:tblPr>
  </w:style>
  <w:style w:type="table" w:customStyle="1" w:styleId="ab">
    <w:basedOn w:val="TableNormal"/>
    <w:tblPr>
      <w:tblStyleRowBandSize w:val="1"/>
      <w:tblStyleColBandSize w:val="1"/>
      <w:tblCellMar>
        <w:top w:w="100" w:type="dxa"/>
        <w:left w:w="100" w:type="dxa"/>
        <w:bottom w:w="100" w:type="dxa"/>
        <w:right w:w="100" w:type="dxa"/>
      </w:tblCellMar>
    </w:tblPr>
  </w:style>
  <w:style w:type="table" w:customStyle="1" w:styleId="ac">
    <w:basedOn w:val="TableNormal"/>
    <w:tblPr>
      <w:tblStyleRowBandSize w:val="1"/>
      <w:tblStyleColBandSize w:val="1"/>
      <w:tblCellMar>
        <w:top w:w="100" w:type="dxa"/>
        <w:left w:w="100" w:type="dxa"/>
        <w:bottom w:w="100" w:type="dxa"/>
        <w:right w:w="100" w:type="dxa"/>
      </w:tblCellMar>
    </w:tblPr>
  </w:style>
  <w:style w:type="table" w:customStyle="1" w:styleId="ad">
    <w:basedOn w:val="TableNormal"/>
    <w:tblPr>
      <w:tblStyleRowBandSize w:val="1"/>
      <w:tblStyleColBandSize w:val="1"/>
      <w:tblCellMar>
        <w:top w:w="100" w:type="dxa"/>
        <w:left w:w="100" w:type="dxa"/>
        <w:bottom w:w="100" w:type="dxa"/>
        <w:right w:w="100" w:type="dxa"/>
      </w:tblCellMar>
    </w:tblPr>
  </w:style>
  <w:style w:type="table" w:customStyle="1" w:styleId="ae">
    <w:basedOn w:val="TableNormal"/>
    <w:tblPr>
      <w:tblStyleRowBandSize w:val="1"/>
      <w:tblStyleColBandSize w:val="1"/>
      <w:tblCellMar>
        <w:top w:w="100" w:type="dxa"/>
        <w:left w:w="100" w:type="dxa"/>
        <w:bottom w:w="100" w:type="dxa"/>
        <w:right w:w="100" w:type="dxa"/>
      </w:tblCellMar>
    </w:tblPr>
  </w:style>
  <w:style w:type="table" w:customStyle="1" w:styleId="af">
    <w:basedOn w:val="TableNormal"/>
    <w:tblPr>
      <w:tblStyleRowBandSize w:val="1"/>
      <w:tblStyleColBandSize w:val="1"/>
      <w:tblCellMar>
        <w:top w:w="100" w:type="dxa"/>
        <w:left w:w="100" w:type="dxa"/>
        <w:bottom w:w="100" w:type="dxa"/>
        <w:right w:w="100" w:type="dxa"/>
      </w:tblCellMar>
    </w:tblPr>
  </w:style>
  <w:style w:type="paragraph" w:styleId="Header">
    <w:name w:val="header"/>
    <w:basedOn w:val="Normal"/>
    <w:link w:val="HeaderChar"/>
    <w:uiPriority w:val="99"/>
    <w:unhideWhenUsed/>
    <w:rsid w:val="00981407"/>
    <w:pPr>
      <w:tabs>
        <w:tab w:val="center" w:pos="4680"/>
        <w:tab w:val="right" w:pos="9360"/>
      </w:tabs>
      <w:spacing w:line="240" w:lineRule="auto"/>
    </w:pPr>
  </w:style>
  <w:style w:type="character" w:customStyle="1" w:styleId="HeaderChar">
    <w:name w:val="Header Char"/>
    <w:basedOn w:val="DefaultParagraphFont"/>
    <w:link w:val="Header"/>
    <w:uiPriority w:val="99"/>
    <w:rsid w:val="00981407"/>
  </w:style>
  <w:style w:type="paragraph" w:styleId="Footer">
    <w:name w:val="footer"/>
    <w:basedOn w:val="Normal"/>
    <w:link w:val="FooterChar"/>
    <w:uiPriority w:val="99"/>
    <w:unhideWhenUsed/>
    <w:rsid w:val="00981407"/>
    <w:pPr>
      <w:tabs>
        <w:tab w:val="center" w:pos="4680"/>
        <w:tab w:val="right" w:pos="9360"/>
      </w:tabs>
      <w:spacing w:line="240" w:lineRule="auto"/>
    </w:pPr>
  </w:style>
  <w:style w:type="character" w:customStyle="1" w:styleId="FooterChar">
    <w:name w:val="Footer Char"/>
    <w:basedOn w:val="DefaultParagraphFont"/>
    <w:link w:val="Footer"/>
    <w:uiPriority w:val="99"/>
    <w:rsid w:val="00981407"/>
  </w:style>
  <w:style w:type="table" w:customStyle="1" w:styleId="af0">
    <w:basedOn w:val="TableNormal"/>
    <w:tblPr>
      <w:tblStyleRowBandSize w:val="1"/>
      <w:tblStyleColBandSize w:val="1"/>
      <w:tblCellMar>
        <w:top w:w="100" w:type="dxa"/>
        <w:left w:w="100" w:type="dxa"/>
        <w:bottom w:w="100" w:type="dxa"/>
        <w:right w:w="100" w:type="dxa"/>
      </w:tblCellMar>
    </w:tblPr>
  </w:style>
  <w:style w:type="table" w:customStyle="1" w:styleId="af1">
    <w:basedOn w:val="TableNormal"/>
    <w:tblPr>
      <w:tblStyleRowBandSize w:val="1"/>
      <w:tblStyleColBandSize w:val="1"/>
      <w:tblCellMar>
        <w:top w:w="100" w:type="dxa"/>
        <w:left w:w="100" w:type="dxa"/>
        <w:bottom w:w="100" w:type="dxa"/>
        <w:right w:w="100" w:type="dxa"/>
      </w:tblCellMar>
    </w:tblPr>
  </w:style>
  <w:style w:type="paragraph" w:styleId="ListParagraph">
    <w:name w:val="List Paragraph"/>
    <w:basedOn w:val="Normal"/>
    <w:uiPriority w:val="34"/>
    <w:qFormat/>
    <w:rsid w:val="002F0442"/>
    <w:pPr>
      <w:ind w:left="720"/>
      <w:contextualSpacing/>
    </w:pPr>
    <w:rPr>
      <w:rFonts w:ascii="Arial" w:eastAsia="Arial" w:hAnsi="Arial" w:cs="Arial"/>
    </w:rPr>
  </w:style>
  <w:style w:type="table" w:styleId="TableGrid">
    <w:name w:val="Table Grid"/>
    <w:basedOn w:val="TableNormal"/>
    <w:uiPriority w:val="39"/>
    <w:rsid w:val="002F0442"/>
    <w:pPr>
      <w:spacing w:line="240" w:lineRule="auto"/>
    </w:pPr>
    <w:rPr>
      <w:rFonts w:asciiTheme="minorHAnsi" w:eastAsiaTheme="minorHAnsi" w:hAnsiTheme="minorHAnsi" w:cstheme="minorBidi"/>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054D06"/>
    <w:rPr>
      <w:sz w:val="16"/>
      <w:szCs w:val="16"/>
    </w:rPr>
  </w:style>
  <w:style w:type="paragraph" w:styleId="CommentText">
    <w:name w:val="annotation text"/>
    <w:basedOn w:val="Normal"/>
    <w:link w:val="CommentTextChar"/>
    <w:uiPriority w:val="99"/>
    <w:semiHidden/>
    <w:unhideWhenUsed/>
    <w:rsid w:val="00054D06"/>
    <w:pPr>
      <w:spacing w:line="240" w:lineRule="auto"/>
    </w:pPr>
    <w:rPr>
      <w:sz w:val="20"/>
      <w:szCs w:val="20"/>
    </w:rPr>
  </w:style>
  <w:style w:type="character" w:customStyle="1" w:styleId="CommentTextChar">
    <w:name w:val="Comment Text Char"/>
    <w:basedOn w:val="DefaultParagraphFont"/>
    <w:link w:val="CommentText"/>
    <w:uiPriority w:val="99"/>
    <w:semiHidden/>
    <w:rsid w:val="00054D06"/>
    <w:rPr>
      <w:sz w:val="20"/>
      <w:szCs w:val="20"/>
    </w:rPr>
  </w:style>
  <w:style w:type="paragraph" w:customStyle="1" w:styleId="Orange">
    <w:name w:val="Orange"/>
    <w:basedOn w:val="Heading1"/>
    <w:qFormat/>
    <w:rsid w:val="001F7FFC"/>
    <w:rPr>
      <w:b/>
      <w:color w:val="FA873D"/>
      <w:sz w:val="30"/>
    </w:rPr>
  </w:style>
  <w:style w:type="table" w:customStyle="1" w:styleId="af2">
    <w:basedOn w:val="TableNormal"/>
    <w:tblPr>
      <w:tblStyleRowBandSize w:val="1"/>
      <w:tblStyleColBandSize w:val="1"/>
      <w:tblCellMar>
        <w:top w:w="100" w:type="dxa"/>
        <w:left w:w="100" w:type="dxa"/>
        <w:bottom w:w="100" w:type="dxa"/>
        <w:right w:w="100" w:type="dxa"/>
      </w:tblCellMar>
    </w:tblPr>
  </w:style>
  <w:style w:type="table" w:customStyle="1" w:styleId="af3">
    <w:basedOn w:val="TableNormal"/>
    <w:tblPr>
      <w:tblStyleRowBandSize w:val="1"/>
      <w:tblStyleColBandSize w:val="1"/>
      <w:tblCellMar>
        <w:left w:w="115" w:type="dxa"/>
        <w:right w:w="115" w:type="dxa"/>
      </w:tblCellMar>
    </w:tblPr>
  </w:style>
  <w:style w:type="table" w:customStyle="1" w:styleId="af4">
    <w:basedOn w:val="TableNormal"/>
    <w:pPr>
      <w:spacing w:line="240" w:lineRule="auto"/>
    </w:pPr>
    <w:rPr>
      <w:rFonts w:ascii="Cambria" w:eastAsia="Cambria" w:hAnsi="Cambria" w:cs="Cambria"/>
    </w:rPr>
    <w:tblPr>
      <w:tblStyleRowBandSize w:val="1"/>
      <w:tblStyleColBandSize w:val="1"/>
      <w:tblCellMar>
        <w:top w:w="100" w:type="dxa"/>
        <w:left w:w="100" w:type="dxa"/>
        <w:bottom w:w="100" w:type="dxa"/>
        <w:right w:w="100" w:type="dxa"/>
      </w:tblCellMar>
    </w:tblPr>
  </w:style>
  <w:style w:type="character" w:styleId="Hyperlink">
    <w:name w:val="Hyperlink"/>
    <w:basedOn w:val="DefaultParagraphFont"/>
    <w:uiPriority w:val="99"/>
    <w:semiHidden/>
    <w:unhideWhenUsed/>
    <w:rsid w:val="00B2071A"/>
    <w:rPr>
      <w:color w:val="0000FF" w:themeColor="hyperlink"/>
      <w:u w:val="single"/>
    </w:rPr>
  </w:style>
  <w:style w:type="paragraph" w:customStyle="1" w:styleId="pf0">
    <w:name w:val="pf0"/>
    <w:basedOn w:val="Normal"/>
    <w:rsid w:val="00B2071A"/>
    <w:pPr>
      <w:spacing w:before="100" w:beforeAutospacing="1" w:after="100" w:afterAutospacing="1" w:line="240" w:lineRule="auto"/>
    </w:pPr>
    <w:rPr>
      <w:rFonts w:ascii="Times New Roman" w:eastAsia="Times New Roman" w:hAnsi="Times New Roman" w:cs="Times New Roman"/>
      <w:lang w:val="en-US"/>
    </w:rPr>
  </w:style>
  <w:style w:type="character" w:customStyle="1" w:styleId="cf01">
    <w:name w:val="cf01"/>
    <w:basedOn w:val="DefaultParagraphFont"/>
    <w:rsid w:val="00B2071A"/>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5069849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newyork.agclassroom.org/matrix/lesson/802/" TargetMode="External"/><Relationship Id="rId18" Type="http://schemas.openxmlformats.org/officeDocument/2006/relationships/hyperlink" Target="https://extension.sdstate.edu/impacts-drought-soil-water-forage-and-livestock-grazing-systems" TargetMode="External"/><Relationship Id="rId26" Type="http://schemas.openxmlformats.org/officeDocument/2006/relationships/image" Target="media/image1.png"/><Relationship Id="rId21" Type="http://schemas.openxmlformats.org/officeDocument/2006/relationships/hyperlink" Target="https://extension.missouri.edu/publications/eq681" TargetMode="External"/><Relationship Id="rId34"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s://www.canada.ca/en/environment-climate-change/services/freshwater-quality-monitoring/publications/phosphorus-aquatic-ecosystems/chapter-1.html" TargetMode="External"/><Relationship Id="rId17" Type="http://schemas.openxmlformats.org/officeDocument/2006/relationships/hyperlink" Target="https://extension.wsu.edu/animalag/content/protecting-the-water-on-your-small-farm/" TargetMode="External"/><Relationship Id="rId25" Type="http://schemas.openxmlformats.org/officeDocument/2006/relationships/hyperlink" Target="https://nourishthefuture.org/media/pages/curriculum/water-quality/ms/phenomenon/ff01ec70fe-1647616853/0-how-clean-is-the-water-student.pdf" TargetMode="External"/><Relationship Id="rId33"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s://www.usda.gov/media/blog/2017/12/13/farmers-keeping-nutrients-field-out-streams" TargetMode="External"/><Relationship Id="rId20" Type="http://schemas.openxmlformats.org/officeDocument/2006/relationships/hyperlink" Target="https://www.usda.gov/media/blog/2017/12/13/farmers-keeping-nutrients-field-out-streams" TargetMode="External"/><Relationship Id="rId29" Type="http://schemas.openxmlformats.org/officeDocument/2006/relationships/image" Target="media/image4.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youtube.com/embed/HSoHkG7bbJE?feature=oembed" TargetMode="External"/><Relationship Id="rId24" Type="http://schemas.openxmlformats.org/officeDocument/2006/relationships/hyperlink" Target="https://extension.wsu.edu/animalag/content/protecting-the-water-on-your-small-farm/" TargetMode="External"/><Relationship Id="rId32" Type="http://schemas.openxmlformats.org/officeDocument/2006/relationships/footer" Target="footer1.xm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lpelc.org/the-michigan-enviroimpact-tool-a-supporting-tool-to-help-farmers-in-forecasting-manure-nutrient-runoff-risk/" TargetMode="External"/><Relationship Id="rId23" Type="http://schemas.openxmlformats.org/officeDocument/2006/relationships/hyperlink" Target="https://www.sustainablefarms.org.au/news/fencing-farm-dams-halves-methane-emissions/" TargetMode="External"/><Relationship Id="rId28" Type="http://schemas.openxmlformats.org/officeDocument/2006/relationships/image" Target="media/image3.jpg"/><Relationship Id="rId36" Type="http://schemas.openxmlformats.org/officeDocument/2006/relationships/fontTable" Target="fontTable.xml"/><Relationship Id="rId10" Type="http://schemas.openxmlformats.org/officeDocument/2006/relationships/hyperlink" Target="https://www.morningagclips.com/wp-content/uploads/2019/04/28774453358_37389bee19_z.jpg" TargetMode="External"/><Relationship Id="rId19" Type="http://schemas.openxmlformats.org/officeDocument/2006/relationships/hyperlink" Target="https://www.sustainablefarms.org.au/news/benefit-cost-analysis-lends-support-for-improved-farm-dam-management/" TargetMode="External"/><Relationship Id="rId31"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s://www.dec.ny.gov/docs/water_pdf/researchguide.pdf" TargetMode="External"/><Relationship Id="rId14" Type="http://schemas.openxmlformats.org/officeDocument/2006/relationships/hyperlink" Target="https://assets.savvas.com/asset_mgr/current/202131/LabSamp_MLBio.pdf" TargetMode="External"/><Relationship Id="rId22" Type="http://schemas.openxmlformats.org/officeDocument/2006/relationships/hyperlink" Target="https://extension.sdstate.edu/impacts-drought-soil-water-forage-and-livestock-grazing-systems" TargetMode="External"/><Relationship Id="rId27" Type="http://schemas.openxmlformats.org/officeDocument/2006/relationships/image" Target="media/image2.png"/><Relationship Id="rId30" Type="http://schemas.openxmlformats.org/officeDocument/2006/relationships/header" Target="header1.xml"/><Relationship Id="rId35" Type="http://schemas.openxmlformats.org/officeDocument/2006/relationships/footer" Target="footer3.xml"/><Relationship Id="rId8" Type="http://schemas.openxmlformats.org/officeDocument/2006/relationships/hyperlink" Target="https://www.labxchange.org/library/pathway/lx-pathway:69980a09-42bf-418d-9679-f8756f2bcc6a/items/lx-pb:69980a09-42bf-418d-9679-f8756f2bcc6a:html:7bcac1df" TargetMode="External"/><Relationship Id="rId3" Type="http://schemas.openxmlformats.org/officeDocument/2006/relationships/styles" Target="styles.xml"/></Relationships>
</file>

<file path=word/_rels/footer2.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hyperlink" Target="http://creativecommons.org/licenses/by/4.0/"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9zOGWQ9H2CxQ63gxgX28hY6dZnw==">AMUW2mVh+64Gcawsk22wUlhzVjU7WM67PkqpgDE3jNeT1fUknqKzMWlI28sbOzAhEEJDDGf1yeeujvDMJPB0eh+Ox8Q9AVjqmoLe81BcSBUht/62atg8QJWOpD+H9rpoVU2jpp+hFeyVYcSS2JNPWdb+Jpld+pT7CCFBTACJHYzGV9rgDAv9z3t9K5/mJn7Mptrp3RWAgyn6RQ0Pflw9AIkcae70uGmhLQ==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4</Pages>
  <Words>1215</Words>
  <Characters>6927</Characters>
  <Application>Microsoft Office Word</Application>
  <DocSecurity>0</DocSecurity>
  <Lines>57</Lines>
  <Paragraphs>16</Paragraphs>
  <ScaleCrop>false</ScaleCrop>
  <Company/>
  <LinksUpToDate>false</LinksUpToDate>
  <CharactersWithSpaces>8126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Megan Schmidt</cp:lastModifiedBy>
  <cp:revision>7</cp:revision>
  <dcterms:created xsi:type="dcterms:W3CDTF">2023-02-20T23:01:00Z</dcterms:created>
  <dcterms:modified xsi:type="dcterms:W3CDTF">2023-02-23T16:19:00Z</dcterms:modified>
</cp:coreProperties>
</file>